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B-1463/2011 vom 19. Mai 2011</w:t>
      </w:r>
    </w:p>
    <w:p>
      <w:r>
        <w:t>Bundesverwaltungsgericht, 2011-05-19, IT</w:t>
      </w:r>
    </w:p>
    <w:p>
      <w:r>
        <w:rPr>
          <w:b/>
        </w:rPr>
        <w:t xml:space="preserve">Quelle: </w:t>
      </w:r>
      <w:r>
        <w:t>https://mcp.opencaselaw.ch/entscheid/bvger_B-1463_2011</w:t>
      </w:r>
    </w:p>
    <w:p>
      <w:r>
        <w:t>FR: TAF B-1463/2011 du 19 mai 2011</w:t>
      </w:r>
    </w:p>
    <w:p>
      <w:r>
        <w:t>IT: TAF B-1463/2011 del 19 maggio 2011</w:t>
      </w:r>
    </w:p>
    <w:p>
      <w:pPr>
        <w:pStyle w:val="Heading2"/>
      </w:pPr>
      <w:r>
        <w:t>Regeste</w:t>
      </w:r>
    </w:p>
    <w:p>
      <w:r>
        <w:t>Maturità svizzera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do­manda di revisione è re­spinta.</w:t>
      </w:r>
    </w:p>
    <w:p>
      <w:r>
        <w:rPr>
          <w:b/>
        </w:rPr>
        <w:t>E. 2</w:t>
      </w:r>
    </w:p>
    <w:p>
      <w:r>
        <w:t>Le spese processuali di fr. 500. sono poste a carico del richiedente. Esse sono computate con l'anticipo spese di pari importo di fr. 700. da egli versato in data 14 marzo 2011. La dif­ferenza di fr. 200. verrà resti­tuita dopo la crescita in giudicato della pre­sente sentenza.</w:t>
      </w:r>
    </w:p>
    <w:p>
      <w:r>
        <w:rPr>
          <w:b/>
        </w:rPr>
        <w:t>E. 3</w:t>
      </w:r>
    </w:p>
    <w:p>
      <w:r>
        <w:t>Comunicazione a: - richiedente (raccomandata; allegati: documenti di ritorno e formulario per restituzione anticipo); - autorità inferiore (raccomandata). Il presidente del collegio: Il cancelliere: Francesco Brentani Nicola Inglese Data di spedizione: 1 giugno 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