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B-1427/2007 vom 28. Februar 2008</w:t>
      </w:r>
    </w:p>
    <w:p>
      <w:r>
        <w:t>Bundesverwaltungsgericht, 2008-02-28, DE</w:t>
      </w:r>
    </w:p>
    <w:p>
      <w:r>
        <w:rPr>
          <w:b/>
        </w:rPr>
        <w:t xml:space="preserve">Quelle: </w:t>
      </w:r>
      <w:r>
        <w:t>https://mcp.opencaselaw.ch/entscheid/bvger_B-1427_2007</w:t>
      </w:r>
    </w:p>
    <w:p>
      <w:r>
        <w:t>FR: TAF B-1427/2007 du 28 février 2008</w:t>
      </w:r>
    </w:p>
    <w:p>
      <w:r>
        <w:t>IT: TAF B-1427/2007 del 28 febbraio 2008</w:t>
      </w:r>
    </w:p>
    <w:p>
      <w:pPr>
        <w:pStyle w:val="Heading2"/>
      </w:pPr>
      <w:r>
        <w:t>Regeste</w:t>
      </w:r>
    </w:p>
    <w:p>
      <w:r>
        <w:t>Opposition | Procédure d'opposition n° 8232 CH 520'095</w:t>
      </w:r>
    </w:p>
    <w:p>
      <w:pPr>
        <w:pStyle w:val="Heading2"/>
      </w:pPr>
      <w:r>
        <w:t>Volltext</w:t>
      </w:r>
    </w:p>
    <w:p>
      <w:r>
        <w:t>Bundesverwaltungsgericht 28.02.2008 B-1427/2007 Bundesverwaltungsgericht 28.02.2008 B-1427/2007 Bundesverwaltungsgericht 28.02.2008 B-1427/2007</w:t>
      </w:r>
    </w:p>
    <w:p>
      <w:r>
        <w:t>Opposition | Procédure d'opposition n° 8232 CH 520'095</w:t>
      </w:r>
    </w:p>
    <w:p>
      <w:r>
        <w:t>Eidgenossenschaft Bundesverwaltungsgericht Conféderation Bundesverwaltungsgericht Confederazione Bundesverwaltungsgericht Abteilung 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