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B-135/2010 vom 5. Februar 2010</w:t>
      </w:r>
    </w:p>
    <w:p>
      <w:r>
        <w:t>Bundesverwaltungsgericht, 2010-02-05, DE</w:t>
      </w:r>
    </w:p>
    <w:p>
      <w:r>
        <w:rPr>
          <w:b/>
        </w:rPr>
        <w:t xml:space="preserve">Quelle: </w:t>
      </w:r>
      <w:r>
        <w:t>https://mcp.opencaselaw.ch/entscheid/bvger_B-135_2010</w:t>
      </w:r>
    </w:p>
    <w:p>
      <w:r>
        <w:t>FR: TAF B-135/2010 du 5 février 2010</w:t>
      </w:r>
    </w:p>
    <w:p>
      <w:r>
        <w:t>IT: TAF B-135/2010 del 5 febbraio 2010</w:t>
      </w:r>
    </w:p>
    <w:p>
      <w:pPr>
        <w:pStyle w:val="Heading2"/>
      </w:pPr>
      <w:r>
        <w:t>Regeste</w:t>
      </w:r>
    </w:p>
    <w:p>
      <w:r>
        <w:t>Markenschutz (Übriges)</w:t>
      </w:r>
    </w:p>
    <w:p>
      <w:pPr>
        <w:pStyle w:val="Heading2"/>
      </w:pPr>
      <w:r>
        <w:t>Volltext</w:t>
      </w:r>
    </w:p>
    <w:p>
      <w:r>
        <w:t>Bundesverwaltungsgericht Tribunal administratif fédéral Tribunale amministrativo federale Tribunal administrativ federal Abteilung II B-135/2010 {T 1/2} Abschreibungsentscheid vom 5. Februar 2010 Besetzung Einzelrichter David Aschmann, Gerichtsschreiberin Sibylle Wenger Berger. Parteien Bodegas Cooperativas de Alicante, Coop.V., Autovia Alicante-Madrid, Km. 39,03610, ES-Petrer (Alicante), vertreten durch Isler &amp; Pedrazzini AG Patent- und Markenanwälte, Gotthardstrasse 53, Postfach 1772, 8027 Zürich, Beschwerdeführerin, gegen Eidgenössisches Institut für Geistiges Eigentum IGE, Stauffacherstrasse 65, 3003 Bern, Vorinstanz. Gegenstand Internationale Registrierung Nr. 961 753 - VINA ALCANTA. Das Bundesverwaltungsgericht stellt fest und zieht in Erwägung, dass das Eidgenössische Institut für Geistiges Eigentum IGE mit Verfügung vom 23. November 2009 der internationalen Registrierung Nr. 961753 "VINA ALCANTA" den Schutz in der Schweiz für alle beanspruchten Waren der Klasse 33 verweigert hat, dass Bodegas Cooperativas de Alicante, Coop.V. diese Verfügung mit Beschwerde vom 11. Januar 2010 beim Bundesverwaltungsgericht angefochten hat, dass die Vorinstanz mit Verfügung vom 3. Februar 2010 ihren Entscheid vom 23. November 2009 in Wiedererwägung gezogen und den Beschwerdebegehren vollumfänglich entsprochen hat,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VGG genannten Behörden gelten, dass Verfügungen der Vorinstanz im Bereich Markeneintragung vor Bundesverwaltungsgericht anfechtbar sind, dass die Vorinstanz in Anwendung von Art. 58 VwVG ihren ursprünglichen Entscheid in Wiedererwägung ziehen kann,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die Verfahrenskosten von Fr. 200.- von der Beschwerdeführerin zu tragen sind, da die Vorinstanz einlässlich darlegte, dass sie die Beschwerdebegehren auch bereits im vorinstanzlichen Verfahren gutgeheissen hätte, hätte die Beschwerdeführerin sie vorgebraucht, dass keine Parteientschädigung aufzuerlegen ist (Art. 7 Abs. 3 VGKE). Demnach verfügt das Bundesverwaltungsgericht: 1. Das Beschwerdeverfahren wird als gegenstandslos abgeschrieben. 2. Die Verfahrenskosten von Fr. 200.- werden der Beschwerdeführerin auferlegt. Dieser Betrag ist nach Eintritt der Rechtskraft des Urteils zu Gunsten der Gerichtskasse zu überweisen. Ein Einzahlungsschein folgt mit separater Post. 3. Es wird keine Parteientschädigung ausgerichtet. 4. Dieser Entscheid geht an: die Beschwerdeführerin (Gerichtsurkunde; Beilage: Erklärung der Vorinstanz vom 3. Februar 2010) die Vorinstanz (Ref-Nr. IR 961753 - VINA ALCANTA; Gerichtsurkunde) Der vorsitzende Richter: Der Gerichtsschreiberin: David Aschmann Sibylle Wenger Berger Rechtsmittelbelehrung: Gegen diesen Entscheid kann innert 30 Tagen nach Eröffnung beim Bundesgericht, 1000 Lausanne 14, Beschwerde in Zivilsachen geführt werden, sofern die Voraussetzungen gemäss den Art. 72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8. Februar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