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B-1277/2007 vom 18. September 2007</w:t>
      </w:r>
    </w:p>
    <w:p>
      <w:r>
        <w:t>Bundesverwaltungsgericht, 2007-09-18, DE</w:t>
      </w:r>
    </w:p>
    <w:p>
      <w:r>
        <w:rPr>
          <w:b/>
        </w:rPr>
        <w:t xml:space="preserve">Quelle: </w:t>
      </w:r>
      <w:r>
        <w:t>https://mcp.opencaselaw.ch/entscheid/bvger_B-1277_2007</w:t>
      </w:r>
    </w:p>
    <w:p>
      <w:r>
        <w:t>FR: TAF B-1277/2007 du 18 septembre 2007</w:t>
      </w:r>
    </w:p>
    <w:p>
      <w:r>
        <w:t>IT: TAF B-1277/2007 del 18 settembre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4. Januar 2007 stellt eine Verfügung im Sinne des Bundesgesetzes vom 20. Dezember 1968 über das Verwaltungsverfahren dar (VwVG, SR 172.021; Art. 5 Abs. 1 Bst. c). Das Bundesverwaltungsgericht, welches gemäss Art. 31 des Verwaltungsgerichtsgesetzes vom 17. Juni 2005 (VGG, SR 173.32) als Beschwerdeinstanz Beschwerden gegen Verfügungen nach Art. 5 VwVG beurteilt, ist nach Art. 33 Bst. d VGG für die Behandlung der vorliegenden Streitsache zuständig, zumal keine Ausnahme nach Art. 32 VGG greift. Soweit vorliegend das Abkommen über die Personenfreizügigkeit (zit.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Die Beschwerdeführerin hat am Verfahren vor dem Bundesamt teilgenommen und ist durch die angefochtene Verfügung besonders berührt. Sie hat zudem ein als schutzwürdig anzuerkennendes Interesse an deren Aufhebung oder Änderung, weshalb sie zur Beschwerdeführung legitimiert ist (Art. 48 Abs. 1 VwVG).</w:t>
      </w:r>
    </w:p>
    <w:p>
      <w:r>
        <w:rPr>
          <w:b/>
        </w:rPr>
        <w:t>E. 1.1</w:t>
      </w:r>
    </w:p>
    <w:p>
      <w:r>
        <w:t>Das Bundesamt macht geltend, die Beschwerdeführerin habe die Frist von 30 Tagen zur Einreichung ihrer Beschwerde wahrscheinlich nicht eingehalten. Die Verfügung des Bundesamtes trage das Datum vom 4. Januar 2007. Gegen diese Verfügung habe die Beschwerdeführerin erst am 17. Februar 2007 Beschwerde beim Bundesverwaltungsgericht erhoben.</w:t>
      </w:r>
    </w:p>
    <w:p>
      <w:r>
        <w:rPr>
          <w:b/>
        </w:rPr>
        <w:t>E. 1.2</w:t>
      </w:r>
    </w:p>
    <w:p>
      <w:r>
        <w:t>Die Behörde trägt die Beweislast, dass und wann die Zustellung erfolgt ist (Kölz/Häner, a.a.O., Rz. 341, mit Hinweisen). Massgebend für die ordnungsgemässe Eröffnung einer Verfügung ist das Datum der Zustellung und nicht das Datum des Entscheides. Die schriftliche Verfügung wird nicht mit dem Erlass an sich, sondern erst mit deren Zustellung an den Adressaten wirksam (vgl. Art. 20 Abs. 1 VwVG; VPB 61.66 E. 3a, mit zahlreichen Hinweisen). Werden behördliche Anordnungen eingeschrieben versandt, so erfolgt die Zustellung im Zeitpunkt der Entgegennahme bzw. der Abholung auf der Post. Werden sie weder entgegengenommen noch abgeholt, so gelten sie als am letzten Tag der Abholfrist zugestellt (vgl. Art. 20 Abs. 2bis VwVG; Kölz/Häner, a.a.O., Rz. 341).</w:t>
      </w:r>
    </w:p>
    <w:p>
      <w:r>
        <w:rPr>
          <w:b/>
        </w:rPr>
        <w:t>E. 1.3</w:t>
      </w:r>
    </w:p>
    <w:p>
      <w:r>
        <w:t>Die Verfügung des Bundesamtes trägt zwar das Datum vom 4. Januar 2007, wurde der Post indessen erst am 16. Januar 2007 übergeben (vgl. Poststempel). Die Beschwerdeführerin nahm die Verfügung am 19. Januar 2007 in Empfang. Die Eingabefrist von 30 Tagen ist damit gewahrt (Art. 50 VwVG).</w:t>
      </w:r>
    </w:p>
    <w:p>
      <w:r>
        <w:rPr>
          <w:b/>
        </w:rPr>
        <w:t>E. 1.4</w:t>
      </w:r>
    </w:p>
    <w:p>
      <w:r>
        <w:t>Die Anforderungen an Form und Inhalt der Beschwerdeschrift sind ebenfalls gewahrt (Art.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des Gesetzes der Bundesrepublik Deutschland vom 17. September 1953 zur Ordnung des Handwerks [konsolidierte Fassung; BGBI I 1953, 141; im Folgenden: HwO] sowie § 51 HwO). Der Meistertitel berechtigt zur selbstständigen Berufsausübung und zur Lehrlingsausbildung (vgl. § 45 Abs. 2 HwO). Grundsätzlich kann die Schweiz daher der Beschwerdeführerin den Zugang oder die Ausübung des reglementierten Berufes nicht wegen mangelnder Qualifikation verweigern.</w:t>
      </w:r>
    </w:p>
    <w:p>
      <w:r>
        <w:rPr>
          <w:b/>
        </w:rPr>
        <w:t>E. 3.2</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a.a.O., S. 80).</w:t>
      </w:r>
    </w:p>
    <w:p>
      <w:r>
        <w:rPr>
          <w:b/>
        </w:rPr>
        <w:t>E. 3.3</w:t>
      </w:r>
    </w:p>
    <w:p>
      <w:r>
        <w:t>Das Bundesamt hat in der angefochtenen Verfügung vom 4. Januar 2007 entschieden, die Meisterprüfung werde der Höheren Fachprüfung gleichgestellt unter der Bedingung, dass die Beschwerdeführerin als Ausgleichsmassnahme entweder in den Fächern Pathologie sowie Allgemeine Optik &amp; Instrumente eine Eignungsprüfung ablege oder einen einjährigen Anpassungslehrgang in der Schweiz unter der Anleitung eines diplomierten Augenoptikers absolviere und diese Fächer an der Höheren Fachschule für Augenoptik in Olten besuche.</w:t>
      </w:r>
    </w:p>
    <w:p>
      <w:r>
        <w:rPr>
          <w:b/>
        </w:rPr>
        <w:t>E. 4</w:t>
      </w:r>
    </w:p>
    <w:p>
      <w:r>
        <w:t>Die Beschwerdeführerin bestreitet, dass bezüglich der Prüfung der Gleichwertigkeit ihres deutschen Meistertitels im Augenoptikerhandwerk mit dem eidgenössischen Diplom der Augenoptikerin das Freizügigkeitsabkommen anwendbar sei. Sie macht geltend, wie aus dem von ihr eingereichten Schreiben vom 26. April 2002 ersichtlich sei, habe das Bundesamt gegenüber der X._______ AG bestätigt, dass gemäss Vereinbarung über die gegenseitige Anerkennung handwerklicher Prüfungen vom 1. Januar 1938 die (deutsche) Meisterprüfung der (schweizerischen) Höheren Fachprüfung gleichgestellt sei. Damit beruft sich die Beschwerdeführerin auf das bilaterale Abkommen vom 1. Dezember 1937 zwischen Deutschland und der Schweiz über die gegenseitige Anerkennung handwerklicher Prüfungen, welches am 1. Januar 1938 in Kraft getreten ist. Das Bundesamt wendet im Rahmen seiner Vernehmlassung ein, dieses Abkommen sei zwar von den deutschen und schweizerischen Behörden gelegentlich angewandt worden. Es sei jedoch nicht verbindlich, da es weder ratifiziert noch in der systematischen Sammlung des Bundesrechts publiziert sei. Die Rechtsgrundlage für die Anerkennung ausländischer Diplome habe sich mit dem Inkrafttreten des Freizügigkeitsabkommens am 1. Juni 2002 grundlegend geändert.</w:t>
      </w:r>
    </w:p>
    <w:p>
      <w:r>
        <w:rPr>
          <w:b/>
        </w:rPr>
        <w:t>E. 5</w:t>
      </w:r>
    </w:p>
    <w:p>
      <w:r>
        <w:t>Was das Verhältnis des Freizügigkeitsabkommens zu den bilateralen Verträgen, welche die Schweiz bisher mit Mitgliedstaaten der EU abgeschlossen hat, betrifft, sieht das Freizügigkeitsabkommen vor, dass Abkommen zwischen der Schweiz und einem oder mehreren Mitgliedstaaten der Europäischen Gemeinschaft weitergelten, sofern sie mit dem Freizügigkeitsabkommen in Einklang stehen. Sind die betreffenden Abkommen nicht mit dem Freizügigkeitsabkommen vereinbar, ist letzteres massgebend (Art. 22 FZA; Stephan Breitenmoser/Michael Isler, a.a.O., S. 1003 ff., insbes. S. 1013). Im weitern sieht Art. 12 FZA vor, dass das Abkommen günstigeren innerstaatlichen Bestimmungen, die den Staatsangehörigen der Vertragsparteien eingeräumt werden, nicht entgegensteht. Dazu gehören auch auf Gegenrecht beruhende bilaterale Abkommen der Schweiz mit einzelnen Mitgliedstaaten der Europäischen Gemeinschaft (Hangartner, a.a.O., S. 268).</w:t>
      </w:r>
    </w:p>
    <w:p>
      <w:r>
        <w:rPr>
          <w:b/>
        </w:rPr>
        <w:t>E. 5.1</w:t>
      </w:r>
    </w:p>
    <w:p>
      <w:r>
        <w:t>Zwischen der Schweiz und Deutschland besteht eine zwischenstaatliche Vereinbarung über die gegenseitige Anerkennung handwerklicher Prüfungen, welche am 1. Dezember 1937 abgeschlossen und auf den 1. Januar 1938 in Kraft gesetzt wurde (nachfolgend Vereinbarung). Diese Vereinbarung enthält folgende Regelung: Artikel I. "Ein deutscher Staatsangehöriger, der in Deutschland die Meisterprüfung für das von ihm betriebene oder für ein diesem verwandtes Handwerk bestanden hat, wird in der Schweiz hinsichtlich der Ausübung seines Handwerks den Schweizerbürgern gleichgestellt, die in der Schweiz die für ihr Handwerk geforderte höhere Fachprüfung bestanden haben. Ein Schweizerbürger, der in der Schweiz die höhere Fachprüfung für das von ihm betriebene oder für ein diesem verwandtes Handwerk bestanden hat, wird in Deutschland hinsichtlich der Ausübung seines Handwerks den deutschen Staatsangehörigen gleichgestellt, die in Deutschland die für ihr Handwerk geforderte Meisterprüfung bestanden haben." Artikel II. (Regelung betreffend gegenseitiger Anerkennung von Gesellenprüfung und Lehrabschlussprüfung) Artikel III. [...] Artikel IV. Eine Veröffentlichung dieser Vereinbarung soll nicht stattfinden. Artikel V. Diese Vereinbarung tritt am 1. Januar 1938 in Kraft. Sie ist mit sechsmonatiger Kündigungsfrist jeweils zum 30. Juni oder 31. Dezember eines Jahres kündbar. Die Kündigung ist erstmals zum 31. Dezember 1939 zulässig." Der im vorliegenden Fall in Betracht fallende Art. 1 der Vereinbarung stellt nach seinem Wortlaut einen Rechtssatz dar, der inhaltlich hinreichend bestimmt und klar ist, um im Einzelfall Grundlage eines Entscheides bilden zu können; er ist daher unmittelbar anwendbar ("self-executing", vgl. dazu Ulrich Häfelin/Walter Haller, Schweizerisches Bundesstaatsrecht, 6. Aufl., Zürich 2005, Rz. 1894; BGE 130 I 113 E. 3.3, BGE 126 I 240 E. 2b, BGE 125 I 182 E. 3a, BGE 125 III 277 E. 2d/aa, BGE 120 Ia 1 E. 5b). Demnach ergibt sich aus dieser Bestimmung, dass deutsche Meisterprüfungen den höheren Fachprüfungen in der Schweiz gleichgestellt und somit ohne Weiteres als gleichwertig anerkannt werden. Demgegenüber sieht das Freizügigkeitsabkommen vor, dass der Aufnahmestaat einen Vergleich der Ausbildungen im Herkunftsstaat und im Aufnahmestaat durchführen und bei wesentlichen Unterschieden in der Ausbildung Ausgleichsmassnahmen verlangen kann. Die Regelung in der genannten bilateralen Vereinbarung erweist sich somit für die jeweiligen Gesuchsteller als günstiger (Art. 12 FZA) und geht daher grundsätzlich den Bestimmungen des Freizügigkeitsabkommens vor.</w:t>
      </w:r>
    </w:p>
    <w:p>
      <w:r>
        <w:rPr>
          <w:b/>
        </w:rPr>
        <w:t>E. 5.2</w:t>
      </w:r>
    </w:p>
    <w:p>
      <w:r>
        <w:t>Die Vereinbarung zwischen der Schweiz, vertreten durch den Vorsteher des EVD, und dem Deutschen Reich vom 1. Dezember 1937 wurde im Bundesblatt auszugsweise veröffentlicht (BBl 1937 III 491), hingegen wurde sie nie in der Sammlung des Bundesrechts publiziert. Gleichwohl wurde sie in der Folge von beiden Parteien eingehalten und angewendet (vgl. dazu Natsch, a.a.O., S. 217 f., N 41; Brief des Bundesamtes für Industrie, Gewerbe und Arbeit [BIGA, heute BBT] vom 2. August 1995 an den Deutschen Handwerkskammertag in Bonn, wonach das Bundesamt bis zum Zeitpunkt einer allfälligen neuen Regelung die zwischenstaatliche Vereinbarung weiter einhalten werde sowie Botschaft des Bundesrates vom 23. Juni 1999 zur Genehmigung der sektoriellen Abkommen zwischen der Schweiz und der EG [a.a.O., S. 6350], wonach mit Deutschland bereits eine zwischenstaatliche Vereinbarung über die gegenseitige Anerkennung von Lehrabschlusszeugnissen und Meisterprüfungen für die handwerklichen Berufe bestehe und bis heute von beiden Parteien eingehalten werde und dem Hinweis, dass über ein bilaterales Abkommen mit Italien über die gegenseitige Anerkennung von Gleichwertigkeiten im Hochschulbereich verhandelt werde). Die Vereinbarung ist auch seit Inkrafttreten des Freizügigkeitsabkommens durch keine der Parteien gekündigt worden (der Kündigungsmechanismus ist in Art. V festgelegt).</w:t>
      </w:r>
    </w:p>
    <w:p>
      <w:r>
        <w:rPr>
          <w:b/>
        </w:rPr>
        <w:t>E. 5.3</w:t>
      </w:r>
    </w:p>
    <w:p>
      <w:r>
        <w:t>Die Vereinbarung ist - wie bereits erwähnt - weder ratifiziert, noch in der systematischen Sammlung publiziert worden. Entgegen der Ansicht des Bundesamtes haben jedoch diese Umstände, wie nachfolgend aufgezeigt wird, auf die Rechtswirksamkeit der Vereinbarung keine Auswirkungen. Das Verfahren auf Abschluss völkerrechtlicher Verträge weist eine völkerrechtliche und eine landesrechtliche Ebene auf. Das Verfahren der Genehmigung eines völkerrechtlichen Vertrages ist durch das Verfassungsrecht der betreffenden Staaten geregelt, ebenso ist die Publikationspflicht der völkerrechtlichen Verträge im innerstaatlichen Recht geregelt. Hingegen sind die völkerrechtlichen Regeln über das Vertragsrecht, welche weitgehend auf Gewohnheitsrecht beruhen, im Wiener Übereinkommen vom 23. Mai 1969 über das Recht der Verträge (VRK, SR 0.111; für die Schweiz seit 6. Juni 1990 in Kraft) kodifiziert (vgl. Jörg Paul Müller/ Luzius Wildhaber, Praxis des Völkerrechts, 3. Auflage, Bern 2001, S. 148 f.); dieses findet auf Verträge zwischen Staaten Anwendung (Art. 1). Es enthält Bestimmungen über den Abschluss und das Inkrafttreten von Verträgen (Art. 6-25 VRK), über die Einhaltung, Anwendung, Auslegung und Änderung von Verträgen (Art. 26-41 VRK) sowie über die Ungültigkeit, Beendigung und Suspendierung von Verträgen (Art. 42-72 VRK).</w:t>
      </w:r>
    </w:p>
    <w:p>
      <w:r>
        <w:rPr>
          <w:b/>
        </w:rPr>
        <w:t>E. 5.4</w:t>
      </w:r>
    </w:p>
    <w:p>
      <w:r>
        <w:t>Zunächst ist festzuhalten, dass die Vereinbarung aufgrund der im damaligen Bundesgesetz verankerten Kompetenz des Bundesrates zum Abschluss von Staatsverträgen gültig abgeschlossen worden ist (vgl. Art. 41 Abs. 3 und 48 Abs. 4 des Bundesgesetzes vom 26. Juni 1930 über die berufliche Ausbildung, aBGG, [AS 48 789]. Zwar hatte nach Art. 85 Ziff. 5 der (alten) Bundesverfassung der Schweizerischen Eidgenossenschaft vom 29. Mai 1874 (aBV, Bereinigte Sammlung der Bundesgesetze und Verordnungen 1848-1947 [BS] 1 3) die Bundesversammlung ein allgemeines Genehmigungsrecht für alle Staatsverträge, die vom Bundesrat abgeschlossen worden waren. Die Praxis hatte jedoch bei Verträgen, zu deren Abschluss der Bundesrat auf Grund einer ausdrücklichen Ermächtigung der Bundesversammlung (wie hier durch ein Bundesgesetz) befugt war, von der Genehmigungspflicht abgesehen (vgl. Ulrich Häfelin/Walter Haller, Schweizerisches Bundesstaatsrecht, 4. Aufl., Zürich 1998, Rz. 1042 [zur aBV]; Jean-François Aubert, Bundesstaatsrecht der Schweiz, Bd II, Basel und Frankfurt am Main 1995, Rz. 1319; Thomas Cottier/Alberto Achermann /Daniel Wüger/Valentin Zellweger, Der Staatsvertrag im Schweizerischen Verfassungsrecht, Beiträge zu Verhältnis und methodischer Angleichung von Völkerrecht und Bundesrecht, Bern 2001, S. 387 f.; zum Ganzen nach geltendem Recht siehe Satz 2 von Art. 166 Abs. 2 der BV vom 18. April 1999 sowie Art. 24 Abs. 2 des Parlamentsgesetzes vom 13. Dezember 2002 [ParlG, SR 171.10], wonach eine Ausnahme von der Genehmigungspflicht auf Grund von Gesetz oder völkerrechtlichem Vertrag besteht). Mit dem Austausch der Ratifikationsurkunden, mit dem Beitritt oder - wie hier im Falle eines vereinfachten Vertragsschlusses - mit der Unterzeichnung erlangen internationale Abkommen für die Schweiz rechtliche Geltung. Mit seinem Inkrafttreten wird ein völkerrechtlicher Vertrag unmittelbar wirksam, er erhält unmittelbare Geltung (vgl. Müller/Wildhaber, a.a.O, S. 121). Die - soweit ersichtlich - hier nicht erfolgte Ratifikation hindert die Rechtswirksamkeit der Vereinbarung nicht. Der Vertrag wurde nicht unter Ratifikationsvorbehalt abgeschlossen, die völkerrechtliche Verbindlichkeit nicht an den Austausch der Ratifikationsurkunden geknüpft.</w:t>
      </w:r>
    </w:p>
    <w:p>
      <w:r>
        <w:rPr>
          <w:b/>
        </w:rPr>
        <w:t>E. 5.5</w:t>
      </w:r>
    </w:p>
    <w:p>
      <w:r>
        <w:t>Auch die fehlende Publikation der Vereinbarung in der Amtlichen Sammlung des Bundesrechts ist ihrer Gültigkeit nicht abträglich (die Vereinbarung ist allerdings bei den Internationalen Abkommen in der Datenbank Staatsverträge auf der Website des Eidgenössischen Departements für auswärtige Angelegenheiten aufgeführt, abrufbar unter www.eda.admin.ch [Themen/Völkerrecht/Internationale Verträge /Datenbank Staatsverträge/ Bilaterale Abkommen mit Deutschland]). Lediglich Staatsverträge, die dem obligatorischen oder fakultativen Referendum unterstehen oder rechtsetzender Natur sind, mussten in der Regel in der amtlichen Sammlung des Bundesrechts publiziert werden (Art. 33 des Bundesgesetzes vom 9. Oktober 1902 über den Geschäftsverkehr zwischen Nationalrat, Ständerat und Bundesrat, sowie über die Form des Erlasses und der Bekanntmachung von Gesetzen und Beschlüssen, AS 19 386; zum geltenden Recht: Art. 2 und 3 Abs. 1 Bst. a und b des Publikationsgesetzes vom 18. Juni 2004 [PublG, SR 170.512]). Die Publikation ist zumindest für die einzelne Personen belastenden Verpflichtungen zu verlangen. Art. 8 PublG bestimmt deshalb explizit, dass völkerrechtliche Verträge den Einzelnen nur dann verpflichten, sofern sie nach diesem Gesetz bekannt gemacht worden sind (Müller/Wildhaber, a.a.O., S. 121; Daniel Wüger, Anwendbarkeit und Justiziabilität völkerrechtlicher Normen im schweizerischen Recht: Grundlagen, Methoden und Kriterien, Bern 2005, S. 33 und 43 mit Hinweisen). Rechtspflichten für die einzelne Person entstehen in diesem Fall erst mit der Veröffentlichung (Gemeinsame Stellungnahme des Bundesamtes für Justiz und der Direktion für Völkerrecht vom 26. April 1989 über das Verhältnis zwischen Völkerrecht und Landesrecht im Rahmen der schweizerischen Rechtsordnung, veröffentlicht in VPB 53.54 Ziff. III 8). Nachdem die Vereinbarung keinem Referendum unterstand und der einzelnen Person keine Pflichten auferlegt, sondern ihr vielmehr einen Anspruch auf Anerkennung eines in Deutschland erworbenen Meistertitels als gleichwertig mit dem eidgenössischen Diplom einräumt, entfällt das Publikationserfordernis.</w:t>
      </w:r>
    </w:p>
    <w:p>
      <w:r>
        <w:rPr>
          <w:b/>
        </w:rPr>
        <w:t>E. 5.6</w:t>
      </w:r>
    </w:p>
    <w:p>
      <w:r>
        <w:t>Hinzu kommt, dass die Nichtaufnahme des Staatsvertrages von 1937 in die Bereinigte Sammlung der Bundesgesetze und Verordnungen 1848-1947 (BS) nicht etwa zur Folge hat, dass er nicht gültig ist. Denn gemäss Art. 1 des Bundesgesetzes vom 12. März 1948 über die Rechtskraft der Bereinigten Sammlung und über die neue Reihe der Sammlung (AS 1949 1523) besteht die Rechtswirkung der BS nur darin, dass die nicht aufgenommenen Bundesgesetze, Bundesbeschlüsse, Bundesratsbeschlüsse, Verordnungen und Verfügungen aufgehoben sind. Hinsichtlich der Staatsverträge hat die BS, wie in Art. 4 des Bundesratsbeschlusses vom 10. Dezember 1951 (AS 1951 1151) ausgesprochen, nicht diese negative Wirkung. Beiden Sammlungen (SR und BS) ist für Staatsverträge (anders als für Bundesgesetze) zu keinem Zeitpunkt eine sogenannte negative Rechtskraft in dem Sinne zugekommen, dass dort nicht enthaltene Staatsverträge als aufgehoben gelten (BGE 132 II 65 E. 4.1 mit Verweis auf BGE 81 II 319 E. 4; Ergänzungsbotschaft zum Rechtskraftgesetz, BBl 1948 I 800, AS 1951 1151 f.; Botschaft über die Veröffentlichung einer neuen Bereinigten Sammlung der Gesetze und Verordnungen des Bundes, BBl 1965 I 320 f., AS 1967 17; Botschaft zu einem Bundesgesetz über die Gesetzessammlungen und das Bundesblatt, BBl 1983 III 444; Müller/Wildhaber, a.a.O., S. 121). Sodann sieht die Vereinbarung in Art. IV selbst vor, dass keine Veröffentlichung stattfinden soll. Somit entspricht die unterlassene Publikation dem ausdrücklichen Willen der beiden Vertragspartner.</w:t>
      </w:r>
    </w:p>
    <w:p>
      <w:r>
        <w:rPr>
          <w:b/>
        </w:rPr>
        <w:t>E. 5.7</w:t>
      </w:r>
    </w:p>
    <w:p>
      <w:r>
        <w:t>Abgesehen davon würde eine Berufung von schweizerischen Behörden darauf, dass die Vereinbarung nach den innerstaatlichen schweizerischen Rechtsregeln nicht rechtsgültig zustande gekommen wäre, gegen Art. 27 und 46 des Wiener Übereinkommens (VRK; zitiert in E. 5.3) verstossen. Eine Vertragspartei kann sich nicht auf ihr innerstaatliches Recht berufen, um die Nichterfüllung eines völkerrechtlichen Vertrages zu rechtfertigen, sofern nicht die Verletzung einer Bestimmung ihres innerstaatlichen Rechts über die Zuständigkeit zum Abschluss von Verträgen offenkundig war und aus der Sicht des anderen Staates objektiv erkennbar sein müsste und eine innerstaatliche Rechtsvorschrift von grundlegender Bedeutung betraf (Art. 27 und 46 VRK). Die vorerwähnten Bestimmungen gelten als Ausdruck des Rechtsgrundsatzes pacta sunt servanda, welcher im Völkerrecht allgemein anerkannt wird (vgl. Abs. 3 der Präambel des Übereinkommens; BGE 122 II 485 E. 3a). Artikel 26 VRK formuliert das grundlegende Prinzip des Vertragsrechts pacta sunt servanda: jeder in Kraft befindliche Vertrag ist für die Vertragsparteien verbindlich und ist von ihnen nach Treu und Glauben zu erfüllen (vgl. auch Botschaft vom 17. Mai 1989 betreffend den Beitritt der Schweiz zur Wiener Konvention von 1969 über das Recht der Verträge und zur Wiener Konvention von 1986 über das Recht der Verträge zwischen Staaten und internationalen Organisationen oder zwischen internationalen Organisationen, BBl 1989 II 757, S. 773; VPB 53.54, a.a.O., Ziff. II 4; Breitenmoser/Isler, a.a.O., S. 1010 mit Hinweisen). Zwar ist festzuhalten, dass Art. 4 des Übereinkommens den Grundsatz von dessen Nichtrückwirkung festlegt. Demnach ist das Übereinkommen nicht auf Verträge anwendbar, welche - wie hier - vor seinem Inkrafttreten für die beteiligten Staaten abgeschlossen worden sind. Die Bestimmung hält aber ebenso fest, dass Verträge den Regeln unterworfen sind, welchen sie unabhängig von dem Übereinkommen auf Grund des Völkerrechts unterliegen würden. Der allgemeine Rechtsgrundsatz pacta sunt servanda und das Verbot der Berufung auf innerstaatliches Recht zur Rechtfertigung der Nichtanwendung eines Staatsvertrages durch Behörden eines Vertragsstaates gelten hier - als Völkergewohnheitsrecht - unabhängig von Art. 4 des Übereinkommens (vgl. zum Ganzen Wüger, a.a.O., S. 87 sowie Cottier u.a., a.a.O., S. 101 f. mit Hinweis). Eine allfällige Berufung einer innerstaatlichen Behörde auf eine landesrechtlich nicht gültig erfolgte Publikation ist damit aus völkerrechtlichen Gründen von vornherein nicht zulässig (Botschaft vom 17. Mai 1989 betreffend den Beitritt der Schweiz zur Wiener Konvention von 1969 über das Recht der Verträge, a.a.O., S. 766; VPB 53.54, a.a.O, Ziff. III 6; BGE 122 II 234 E. 4c, BGE 117 V 268 E. 3b, BGE 120 Ib 360 E. 2c, BGE 112 Ia 75 E. 4b). Die Schweiz ist demnach durch den vom Vorsteher des Eidgenössischen Volkswirtschaftsdepartements abgeschlossenen Vertrag völkerrechtlich gebunden. Das bedeutet, dass die darin enthaltenen Vertragsbestimmungen von allen Staatsorganen einzuhalten und anzuwenden sind, solange der Vertrag in Kraft ist (vgl. Gutachten des Bundesamtes für Justiz vom 6. Januar 2004 zuhanden der aussenpolitischen und staatspolitischen Kommissionen von National- und Ständerat, überarbeitet im Mai 2004, veröffentlicht in VPB 68.83 Ziff. 4, VPB 53.54, a.a.O., Ziff. V 13; BGE 120 Ib 360 E. 2c).</w:t>
      </w:r>
    </w:p>
    <w:p>
      <w:r>
        <w:rPr>
          <w:b/>
        </w:rPr>
        <w:t>E. 5.8</w:t>
      </w:r>
    </w:p>
    <w:p>
      <w:r>
        <w:t>Die Vereinbarung von 1937 ist somit gültig und direkt anwendbar (vgl. E. 5.1). In Art. I sieht die Vereinbarung zwischen der Schweiz und dem Deutschen Reich vom 1. Dezember 1937 die automatische Anerkennung des deutschen Meistertitels als gleichwertig mit dem schweizerischen Diplom vor. Ein Vergleich der Ausbildung und Berufserfahrung im Herkunftsstaat Deutschland mit den Anforderungen des Aufnahmestaates Schweiz findet nicht statt; die Gleichwertigkeitsanerkennung erfolgt ohne Weiteres.</w:t>
      </w:r>
    </w:p>
    <w:p>
      <w:r>
        <w:rPr>
          <w:b/>
        </w:rPr>
        <w:t>E. 6</w:t>
      </w:r>
    </w:p>
    <w:p>
      <w:r>
        <w:t>Dem Wortlaut nach ist die Vereinbarung in der hier interessierenden Konstellation bloss auf deutsche Staatsangehörige anwendbar, die in Deutschland die Meisterprüfung bestanden haben und in der Schweiz ihr Handwerk gleichgestellt mit den Schweizerbürgern, die hier die dafür geforderte höhere Fachprüfung bestanden haben, ausüben wollen (Art. I). Die Beschwerdeführerin ist indes Schweizerbürgerin, die ihre Meisterprüfung in Deutschland bestanden hat und ihr Handwerk in der Schweiz ausüben will. Die Anwendung der Vereinbarung nach dem Wortlaut würde dazu führen, dass sich die Beschwerdeführerin nicht darauf berufen könnte. Ihr bliebe die Gleichstellung ihres in Deutschland erworbenen Meistertitels im Augenoptikerhandwerk mit dem schweizerischen Diplom nach dem automatischen Anerkennungsmechanismus der Vereinbarung versagt. Demgegenüber könnte eine deutsche Staatsangehörige ihren in Deutschland erworbenen Meistertitel in der Schweiz anerkennen lassen. Schweizerische Staatsangehörige wie die Beschwerdeführerin könnten somit ihre in Deutschland erworbenen Ausbildungsabschlüsse nicht nach denselben Regeln der Vereinbarung von 1937 in der Schweiz anerkennen lassen wie deutsche Staatsangehörige in deckungsgleicher Situation. Es stellt sich demnach die Frage, ob durch die Differenzierung der rechtlichen Behandlung dieser bis auf die unterschiedliche Staatsangehörigkeit der gesuchstellenden Personen gleichen Sachverhalte eine unzulässige Ungleichbehandlung bzw. Diskriminierung der Beschwerdeführerin resultiert bzw. nach welchen Normen eine solche Ungleichbehandlung in Bezug auf ihre Rechtmässigkeit zu beurteilen ist.</w:t>
      </w:r>
    </w:p>
    <w:p>
      <w:r>
        <w:rPr>
          <w:b/>
        </w:rPr>
        <w:t>E. 6.1</w:t>
      </w:r>
    </w:p>
    <w:p>
      <w:r>
        <w:t>Das Bundesverwaltungsgericht hat sich mit Urteil vom 28. August 2007 (BVGE B-2183/2006 E. 5.3 ff.), bereits zu dieser Frage geäussert. Das Bundesverwaltungsgericht hielt dabei Folgendes fest:</w:t>
      </w:r>
    </w:p>
    <w:p>
      <w:r>
        <w:rPr>
          <w:b/>
        </w:rPr>
        <w:t>E. 6.2</w:t>
      </w:r>
    </w:p>
    <w:p>
      <w:r>
        <w:t>Wie bereits dargetan, ist das Freizügigkeitsabkommen grundsätzlich anwendbar (E. 3). Es regelt im Wesentlichen die Zulassungs- und Aufenthaltsbedingungen, den Erwerb von Immobilien, die Anerkennung von Diplomen, die Koordination der sozialen Sicherheit sowie grenzüberschreitende Dienstleistungen. Das Gebot der Nichtdiskriminierung wegen der Staatsangehörigkeit spielt dabei eine zentrale Rolle. Einschlägig zur Frage der Diskriminierung ist Art. 2 FZA: "Die Staatsangehörigen einer Vertragspartei, die sich rechtmässig im Hoheitsgebiet einer anderen Vertragspartei aufhalten, werden bei der Anwendung dieses Abkommens gemäss den Anhängen I, II und III nicht aufgrund ihrer Staatsangehörigkeit diskriminiert". Das Freizügigkeitsabkommen geht davon aus, dass die Freizügigkeit der Personen im Hoheitsgebiet der anderen Vertragspartei ein wesentlicher Bestandteil einer harmonischen Entwicklung ihrer Beziehungen ist und dass die Vertragsparteien entschlossen sind, die Freizügigkeit zwischen ihnen auf der Grundlage der in der Europäischen Gemeinschaft geltenden Bestimmungen (Gemeinschaftsrecht) zu verwirklichen.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Stephan Breitenmoser/Michael Isler, a.a.O., S. 1011). Der EuGH hat hiezu in mehreren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Rn. 18 ff.;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6.3</w:t>
      </w:r>
    </w:p>
    <w:p>
      <w:r>
        <w:t>Das Bundesverwaltungsgericht hielt im zitierten Urteil weiter fest, die Vorschriften der Vereinbarung von 1937, im Besonderen jene hinsichtlich der Staatsangehörigkeitsanknüpfung in Bezug auf die gegenseitige Anerkennung der Meisterprüfungen durch den jeweils anderen Vertragsstaat, seien nicht bloss nach dem Wortlaut anzuwenden. Vielmehr seien sie nach dem Normverständnis zur Zeit der jetzigen Rechtsanwendung auszulegen (sog. geltungszeitliche oder zeitgemässe Auslegung). Die Vereinbarung sei somit insbesondere unter Berücksichtigung der dem Freizügigkeitsabkommen zugrundeliegenden Rechtsprinzipien anzuwenden. Analog der Praxis der Europäischen Gemeinschaft, welche über Art. 16 Abs. 2 FZA im Rahmen desselben ihren Niederschlag findet, sei daher den Staatsangehörigen eines Vertragspartners (des FZA) das Recht zuzugestehen, sich auch gegen das eigene Land auf den Grundsatz der Nichtdiskriminierung zu berufen (Verbot der Inländerdiskriminierung). Vorausgesetzt sei allerdings ein Sachverhalt des Freizügigkeitsabkommens. Im vorliegenden Fall gehe es um die Anerkennung einer beruflichen Ausbildung durch einen Vertragsstaat, wobei diese Qualifikation in einem anderen Vertragsstaat erworben worden sei. Eine grenzüberschreitende Komponente liege vor, weshalb das Verbot der Inländerdiskriminierung im soeben beschriebenen Kontext des europäischen Gemeinschaftsrechts zu beachten sei.</w:t>
      </w:r>
    </w:p>
    <w:p>
      <w:r>
        <w:rPr>
          <w:b/>
        </w:rPr>
        <w:t>E. 6.4</w:t>
      </w:r>
    </w:p>
    <w:p>
      <w:r>
        <w:t>Weiter erwog das Bundesverwaltungsgericht, schweizerische Staatsangehörige wie die Beschwerdeführerin könnten nach dem Wortlaut der Vereinbarung von 1937 ihre in Deutschland erworbenen Ausbildungsabschlüsse in der Schweiz nicht - wie deutsche Staatsangehörige - nach den Vereinbarungsregeln anerkennen lassen (siehe E. 6). Diese Nichtanerkennung eines durch einen Inländer (hier die Beschwerdeführerin, eine schweizerische Staatsangehörige) im Ausland (hier in Deutschland) erworbenen Meistertitels nach den Regeln der Vereinbarung von 1937 stelle indes eine Inländerdiskriminierung gemäss Art. 2 FZA dar. Denn die Vorinstanz wende auf die Beschwerdeführerin den im Vergleich zur Anerkennungsregelung gemäss Vereinbarung ungünstigeren Anerkennungsmechanismus gemäss dem Freizügigkeitsabkommen an. Schweizerische und deutsche Staatsangehörige würden damit nicht gleich behandelt. Ein solcher staatlicher Akt richte sich materiell gegen die Verwirklichung der im Freizügigkeitsabkommen beschriebenen Freizügigkeit. Das Bundesverwaltungsgericht führte schliesslich aus, eine derartige Vorgehensweise sei mit dem Diskriminierungsverbot bzw. mit Art. 2 FZA nicht vereinbar. Das Diskriminierungsverbot habe somit zur Konsequenz, dass eine Staatsangehörige einer Vertragspartei - wie die Beschwerdeführerin - sich erfolgreich gegen Vorschriften oder Verhaltensweisen ihres eigenen Staates wenden könne, wenn sie schlechter behandelt werde, weil sie von den Möglichkeiten der Freizügigkeit - wie hier in Bezug auf die Wahl der Ausbildungsstätte - Gebrauch gemacht habe (BVGE B-2183/2006 E. 5.3.1 - E. 5.3.3; Hangartner, a.a.O., S. 262 f. mit weiteren Hinweisen). Diese Überlegungen gelten auch im vorliegenden Fall.</w:t>
      </w:r>
    </w:p>
    <w:p>
      <w:r>
        <w:rPr>
          <w:b/>
        </w:rPr>
        <w:t>E. 6.5</w:t>
      </w:r>
    </w:p>
    <w:p>
      <w:r>
        <w:t>Auf Grund der vorausgehenden Erwägungen folgt daher, dass die zwischenstaatliche Vereinbarung von 1937 über ihren blossen Wortlaut hinaus aufgrund des Diskriminierungsverbots auf den vorliegenden Fall anwendbar ist. Demnach kann sich die Beschwerdeführerin ebenso wie eine deutsche Staatsangehörige auf die Anerkennungsregeln gemäss Vereinbarung berufen, andernfalls eine unzulässige Inländerdiskriminierung vorliegen würde.</w:t>
      </w:r>
    </w:p>
    <w:p>
      <w:r>
        <w:rPr>
          <w:b/>
        </w:rPr>
        <w:t>E. 7</w:t>
      </w:r>
    </w:p>
    <w:p>
      <w:r>
        <w:t>Die Beschwerde ist daher gutzuheissen und die Verfügung des Bundesamtes vom 4. Januar 2007 aufzuheben. Es wird festgestellt, dass der am 4. Mai 2006 in Deutschland verliehene Meistertitel im Augenoptikerhandwerk mit dem eidgenössischen Diplom als Augenoptikerin gleichwertig ist. Das Bundesamt wird angewiesen, der Beschwerdeführerin eine Gleichwertigkeitsbestätigung auszustellen.</w:t>
      </w:r>
    </w:p>
    <w:p>
      <w:r>
        <w:rPr>
          <w:b/>
        </w:rPr>
        <w:t>E. 8</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22. März 2007 geleistete Kostenvorschuss von Fr. 1'100.- ist ihr zurückzuerstatten.</w:t>
      </w:r>
    </w:p>
    <w:p>
      <w:r>
        <w:rPr>
          <w:b/>
        </w:rPr>
        <w:t>E. 9</w:t>
      </w:r>
    </w:p>
    <w:p>
      <w:r>
        <w:t>Die Beschwerdeinstanz kann der ganz oder teilweise obsiegenden Partei von Amtes wegen oder auf Begehren eine Entschädigung für ihr erwachsene notwendige und verhältnismässig hohe Kosten zusprechen (Art. 64 Abs. 1 VwVG). Die Beschwerdeführerin war im vorliegenden Verfahren nicht vertreten, und auch sonst sind ihr keine anrechenbaren Kosten in diesem Sinn entstanden.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