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B-1185/2014 vom 7. Oktober 2016</w:t>
      </w:r>
    </w:p>
    <w:p>
      <w:r>
        <w:t>Bundesverwaltungsgericht, 2016-10-07, FR</w:t>
      </w:r>
    </w:p>
    <w:p>
      <w:r>
        <w:rPr>
          <w:b/>
        </w:rPr>
        <w:t xml:space="preserve">Quelle: </w:t>
      </w:r>
      <w:r>
        <w:t>https://mcp.opencaselaw.ch/entscheid/bvger_B-1185_2014</w:t>
      </w:r>
    </w:p>
    <w:p>
      <w:r>
        <w:t>FR: TAF B-1185/2014 du 7 octobre 2016</w:t>
      </w:r>
    </w:p>
    <w:p>
      <w:r>
        <w:t>IT: TAF B-1185/2014 del 7 ottobre 2016</w:t>
      </w:r>
    </w:p>
    <w:p>
      <w:pPr>
        <w:pStyle w:val="Heading2"/>
      </w:pPr>
      <w:r>
        <w:t>Regeste</w:t>
      </w:r>
    </w:p>
    <w:p>
      <w:r>
        <w:t>Opposition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et art. 5 al. 2 de la loi fédérale du 20 décembre 1968 sur la procédure administrative [PA, RS 172.021]).</w:t>
      </w:r>
    </w:p>
    <w:p>
      <w:r>
        <w:rPr>
          <w:b/>
        </w:rPr>
        <w:t>E. 1.3</w:t>
      </w:r>
    </w:p>
    <w:p>
      <w:r>
        <w:t>La recourante, qui a pris part à la procédure devant l'autorité inférieure et qui est spécialement atteinte par la décision attaquée, a un intérêt digne de protection à ce que la marque attaquée soit révoquée. La qualité pour recourir au sens de l'art. 48 al. 1 PA doit par conséquent lui être reconnue.</w:t>
      </w:r>
    </w:p>
    <w:p>
      <w:r>
        <w:rPr>
          <w:b/>
        </w:rPr>
        <w:t>E. 1.4</w:t>
      </w:r>
    </w:p>
    <w:p>
      <w:r>
        <w:t>Les autres conditions de recevabilité sont également respectées (art. 11, 50, 52 al. 1 et 63 al. 4 PA). Le recours est ainsi recevable.</w:t>
      </w:r>
    </w:p>
    <w:p>
      <w:r>
        <w:rPr>
          <w:b/>
        </w:rPr>
        <w:t>E. 2</w:t>
      </w:r>
    </w:p>
    <w:p>
      <w:r>
        <w:t>L'art. 3 al. 1 let. c de la loi fédérale du 28 août 1992 sur la protection des marques (LPM, RS 232.11) exclut de la protection les signes similaires à une marque antérieure et destinés à des produits ou services identiques ou similaires, lorsqu'il en résulte un risque de confusion.</w:t>
      </w:r>
    </w:p>
    <w:p>
      <w:r>
        <w:rPr>
          <w:b/>
        </w:rPr>
        <w:t>E. 2.1</w:t>
      </w:r>
    </w:p>
    <w:p>
      <w:r>
        <w:t>Il s'agit tout d'abord de définir à quels consommateurs les produits et/ou les services en cause sont destinés (consid. 2.1.1) ainsi que le degré d'attention dont ces consommateurs font preuve (consid. 2.1.2). C'est en effet sur la base de la perception des personnes concernées que doivent être examinées les questions de la similarité des produits et/ou des services (consid. 3.3), de la similarité des signes (consid. 4.2.4) et du risque de confusion (consid. 5.4) (arrêts du TAF B 3310/2012 du 11 mars 2013 consid. 4 "RODOLPHE/ RODOLPHE [fig.]" et B 8006/2010 du 12 mars 2012 consid. 3 "viva! [fig.]/ viva figurstudios für frauen [fig.]").</w:t>
      </w:r>
    </w:p>
    <w:p>
      <w:r>
        <w:rPr>
          <w:b/>
        </w:rPr>
        <w:t>E. 2.1.1</w:t>
      </w:r>
    </w:p>
    <w:p>
      <w:r>
        <w:t>Sont déterminants les cercles de consommateurs auxquels s'adressent les produits et/ou les services en cause. Dans l'examen de la similarité des signes et de la force distinctive de la marque opposante, ce sont les cercles de consommateurs des produits et/ou des services revendiqués par la marque opposante auxquels il convient de se référer (arrêt du TAF B 5119/2014 du 17 mars 2016 consid. 4.1 "VISUDYNE/VIVADINE" ; Raphael Nusser, Die mass­geblichen Verkehrs­kreise im schweizerischen Marken­recht, 2015, 145 s).</w:t>
      </w:r>
    </w:p>
    <w:p>
      <w:r>
        <w:rPr>
          <w:b/>
        </w:rPr>
        <w:t>E. 2.1.2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110 ; Eugen Marbach, Markenrecht, Schweizerisches Immaterialgüter- und Wettbewerbsrecht [SIWR], 2009, no 995 ss).</w:t>
      </w:r>
    </w:p>
    <w:p>
      <w:r>
        <w:rPr>
          <w:b/>
        </w:rPr>
        <w:t>E. 2.2.1</w:t>
      </w:r>
    </w:p>
    <w:p>
      <w:r>
        <w:t>Dans sa décision du 6 février 2014, l'autorité inférieure considère que, dès lors que les produits de la classe 14 tels que les montres ou les bijoux peuvent être des objets chers et luxueux, les consommateurs y prêtent une attention particulière. Toutefois, comme il peut s'agir aussi d'articles peu coûteux tels que des accessoires de mode ou des objets de consommation relativement courante, il y aurait lieu de retenir que, pour les produits visés de la classe 14, le degré d'attention du consommateur est moyen.</w:t>
      </w:r>
    </w:p>
    <w:p>
      <w:r>
        <w:rPr>
          <w:b/>
        </w:rPr>
        <w:t>E. 2.2.2</w:t>
      </w:r>
    </w:p>
    <w:p>
      <w:r>
        <w:t>Selon la recourante, les produits de la classe 14 seraient destinés au grand public, soit au consommateur moyen. Celui-ci ferait preuve, lors de l'achat de tels produits, d'un degré d'attention moyen.</w:t>
      </w:r>
    </w:p>
    <w:p>
      <w:r>
        <w:rPr>
          <w:b/>
        </w:rPr>
        <w:t>E. 2.2.3</w:t>
      </w:r>
    </w:p>
    <w:p>
      <w:r>
        <w:t>L'intimée fait valoir que la recourante est une entreprise intégrée à Swatch Group et spécialisée dans la fabrication de composants de haute précision pour l'horlogerie (couronnes de remontoirs, tubes et boutons poussoirs) ; elle vendrait ses composants exclusivement aux fabricants de produits finis de l'industrie horlogère, principalement aux sociétés membres du Swatch Group. En revanche, l'intimée, elle, vendrait des produits finis, en grande partie des montres, à des distributeurs, à des détaillants, mais principalement au consommateur final. Le public visé par les deux marques ne serait donc pas identique.</w:t>
      </w:r>
    </w:p>
    <w:p>
      <w:r>
        <w:rPr>
          <w:b/>
        </w:rPr>
        <w:t>E. 2.3</w:t>
      </w:r>
    </w:p>
    <w:p>
      <w:r>
        <w:t>Selon la jurisprudence, les produits de l'horlogerie et de la bijouterie (classe 14) revendiqués par les marques en présence sont destinés au grand public (arrêts du TAF B-3310/2012 du 11 mars 2013 consid. 4.2.1 "RODOLPHE/RODOLPHE [fig.]", B-5467/2011 du 20 février 2013 consid. 4.2 "NAVITIMER/Maritimer", B-5779/2007 du 3 novembre 2008 consid. 4 "Lancaster", B-3052/2009 du 16 février 2010 consid. 4 "DIAMONDS OF THE TSARS", B-1223/2010 du 7 décembre 2010 consid. 3 "TOURBILLON [fig.]"), c'est-à-dire au consommateur moyen, qui fait preuve d'un degré d'attention ni supérieur ni inférieur à la moyenne lors de l'achat de telles marchandises (arrêts du TAF B 4260/2010 du 21 décembre 2011 consid. 7 "Bally/BALU [fig.]", B 4151/2009 du 7 décembre 2009 consid. 5.2 "GOLAY/Golay Spierer [fig.]", B-201/2009 du 26 mai 2009 consid. 5 "Atlantic [fig.]/TISSOT ATLAN-T"). 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B-5467/2011 du 20 février 2013 consid. 4.2 "NAVITIMER/Maritimer", B-8006/2010 du 12 mars 2012 consid. 3 "viva! [fig.]/viva figurstudios für frauen [fig.]", B 6222/2009 du 30 novembre 2010 consid. 3 "LOUIS BOSTON", B 3052/2009 du 16 février 2010 consid. 4 "DIAMONDS OF THE TSARS", B-1223/2010 du 7 décembre 2010 consid. 3 "TOURBILLON [fig.]"). Il s'agit dès lors de considérer que les produits de la classe 14 en cause s'adressent au consommateur moyen - qui fait preuve d'un degré d'attention moyen -, sans perdre de vue le fait que ces produits s'adressent également au spécialiste des domaines de l'horlogerie et de la bijouterie - qui est susceptible de faire preuve d'un degré d'attention accru (arrêts du TAF B-3310/2012 du 11 mars 2013 consid. 4.2.3 "RODOLPHE/RODOLPHE [fig.]" et B-5467/2011 du 20 février 2013 consid. 4.2 "NAVITIMER/Maritimer"). Ceci est d'autant plus à retenir que certains produits de la marque opposante, respectivement de la marque attaquée, en particulier les métaux précieux et leurs alliages et produits en ces matières ou en plaqué, les parties de montres, les couronnes de montres, les tubes de couronnes, les remonteurs, les poussoirs et autres pièces détachées d'horlogerie, s'adressent avant tout aux spécialistes que sont les fabricants (arrêt du TAF B-5467/2011 précité consid. 4.2).</w:t>
      </w:r>
    </w:p>
    <w:p>
      <w:r>
        <w:rPr>
          <w:b/>
        </w:rPr>
        <w:t>E. 3</w:t>
      </w:r>
    </w:p>
    <w:p>
      <w:r>
        <w:t>Il convient ensuite d'examiner, du point de vue des cercles de destinataires concernés, s'il existe une similarité entre les produits en cause.</w:t>
      </w:r>
    </w:p>
    <w:p>
      <w:r>
        <w:rPr>
          <w:b/>
        </w:rPr>
        <w:t>E. 3.1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 1494/2011 du 2 mai 2012 consid. 3.2 "Marcuard Heritage", B 3064/2010 du 26 octobre 2010 consid. 5 "[fig.]/[fig.]", B 137/2009 du 30 septembre 2009 consid. 4 "DIAPASON", B 8105/2007 du 17 novembre 2008 consid. 4.2 "ACTIVIA" et B 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 4260/2010 du 21 décembre 2011 consid. 6.2.1 "Bally/BALU [fig.]", B 317/2010 du 13 septembre 2010 consid. 5.2 "Lifetex/LIFETEA" et B 7500/2006 du 19 décembre 2007 consid. 7 "Diva Cravatte [fig.]/DD DIVO DIVA [fig.]" ; Marbach, SIWR, no 1173).</w:t>
      </w:r>
    </w:p>
    <w:p>
      <w:r>
        <w:rPr>
          <w:b/>
        </w:rPr>
        <w:t>E. 3.2.1</w:t>
      </w:r>
    </w:p>
    <w:p>
      <w:r>
        <w:t>Selon l'autorité inférieure, comme les produits de la marque attaquée se retrouvent dans le libellé de la marque opposante, les produits en cause sont identiques.</w:t>
      </w:r>
    </w:p>
    <w:p>
      <w:r>
        <w:rPr>
          <w:b/>
        </w:rPr>
        <w:t>E. 3.2.2</w:t>
      </w:r>
    </w:p>
    <w:p>
      <w:r>
        <w:t>La recourante estime que c'est à juste titre que l'autorité a retenu dans sa décision que les produits sont identiques dans la mesure où les produits revendiqués en classe 14 par la marque attaquée se retrouvent dans le libellé de la marque opposante. Seraient seuls déterminants pour juger de la similitude des produits et services, ceux figurant dans la liste de la marque antérieure et non pas les produits actuellement utilisés par la marque.</w:t>
      </w:r>
    </w:p>
    <w:p>
      <w:r>
        <w:rPr>
          <w:b/>
        </w:rPr>
        <w:t>E. 3.2.3</w:t>
      </w:r>
    </w:p>
    <w:p>
      <w:r>
        <w:t>Selon l'intimée, l'autorité inférieure a retenu l'identité des produits du simple fait que la marque attaquée est enregistrée pour des produits qui se retrouvent dans le libellé de la marque opposante. La recourante serait cependant une entreprise spécialisée dans la fabrication de composantes de haute précision pour l'horlogerie (couronnes de remontoirs, tubes et boutons-poussoirs) et qui vendrait ses composantes exclusivement auprès de fabricants de produits finis au sein de l'industrie horlogère. En revanche, l'intimée fabriquerait des produits finis, principalement des montres, destinés principalement à la vente aux consommateurs finaux directement et en second rang à la vente aux distributeurs et aux détaillants. Les produits des deux parties seraient donc destinés à des acheteurs et des marchés différents par le biais des canaux de distribution distincts : d'une part, les fabricants de montres et autres produits d'horlogerie que la recourante fournirait directement, et d'autre part, les consommateurs à qui l'intimée vendrait ses produits directement ou par l'intermédiaire de commerces de détail.</w:t>
      </w:r>
    </w:p>
    <w:p>
      <w:r>
        <w:rPr>
          <w:b/>
        </w:rPr>
        <w:t>E. 3.3</w:t>
      </w:r>
    </w:p>
    <w:p>
      <w:r>
        <w:t>Du fait que les produits revendiqués par la marque attaquée ("métaux précieux et leurs alliages et produits en ces matières ou en plaqué non compris dans d'autres classes ; joaillerie, bijouterie, pierres précieuses ; horlogerie et instruments chronométriques" [classe 14]) figurent également dans la liste des produits revendiqués par la marque opposante, il y a identité entre les produits en cause (arrêts du TAF B 3310/2012 du 11 mars 2013 consid. 5 "RODOLPHE/RODOLPHE [fig.]" et B-5467/2011 du 20 février 2013 consid. 5.3 "NAVITIMER/Maritimer") Seuls sont en effet déterminants pour juger de la similitude des produits et services, ceux figurant dans la liste de la marque antérieure et non pas les produits actuellement utilisés par la marque.</w:t>
      </w:r>
    </w:p>
    <w:p>
      <w:r>
        <w:rPr>
          <w:b/>
        </w:rPr>
        <w:t>E. 4</w:t>
      </w:r>
    </w:p>
    <w:p>
      <w:r>
        <w:t>Vu l'identité entre les produits en cause, il s'agit de déterminer s'il existe une similarité entre les signes "MECO" et "MESO (fig.)".</w:t>
      </w:r>
    </w:p>
    <w:p>
      <w:r>
        <w:rPr>
          <w:b/>
        </w:rPr>
        <w:t>E. 4.1</w:t>
      </w:r>
    </w:p>
    <w:p>
      <w:r>
        <w:t>La similarité entre deux signes est déterminée par l'impression d'ensemble laissée au public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 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(arrêts du TAF B-38/2011, B-39/2011, B-40/2011 du 29 avril 2011 consid. 7.1.2 "IKB/ICB [fig.]", "IKB/ICB" et "IKB/ICB BANKING GROUP").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JOLLER, in : Markenschutzgesetz [MSchG], art. 3 no 122 s.). 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Commentaire romand, 2013, art. 3 LPM no 104 ; arrêts du TAF B 461/2013 du 21 janvier 2015 consid. 9.1 "SPORTS [fig.]/zoo sport [fig.]", B-3310/2012 du 11 mars 2013 consid. 6.1 "RODOLPHE/RODOLPHE [fig.]" et B 1618/2011 du 25 septembre 2012 consid. 4.1 "EIFFEL/GUSTAVE EIFFEL [fig.]"). 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121 III 377 consid. 2b "Boss"). La similarité des marques doit en principe déjà être admise lorsque des similitudes se manifestent sur la base de l'un de ces trois critères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w:t>
      </w:r>
    </w:p>
    <w:p>
      <w:r>
        <w:rPr>
          <w:b/>
        </w:rPr>
        <w:t>E. 4.2.1</w:t>
      </w:r>
    </w:p>
    <w:p>
      <w:r>
        <w:t>Dans sa décision du 6 février 2014, l'autorité inférieure a considéré que la marque opposante est une marque verbale alors que la marque attaquée consiste en un "amalgame de lettres stylisées" difficiles à distinguer dont le consommateur, avec attention et imagination, est en mesure de percevoir une combinaison de lettres "M E S O". Toutefois, la présentation serait si différente d'un mot écrit dans une police ordinaire qu'il n'y aurait pas de similitude sur le plan visuel. Sur le plan phonétique, l'autorité inférieure considère que, s'il doit être retenu que le consommateur distingue les lettres de la marque attaquée, les signes sont similaires dans la mesure du son des lettres "M E . O" et dans la mesure du son des consonnes "C" et "S". Dans le cas où aucune lettre ne serait perçue par le consommateur dans la marque attaquée, les deux signes ne seraient pas non plus similaires sur ce plan. Aucune des deux marques n'aurait de signification directement compréhensible ; au plus, conviendrait-il de relever que "meso" signifie "au milieu" en grec ancien, langue morte dont la plupart des consommateurs n'auraient aucune notion. Les deux marques ne présenteraient donc aucune similitude sur le plan sémantique.</w:t>
      </w:r>
    </w:p>
    <w:p>
      <w:r>
        <w:rPr>
          <w:b/>
        </w:rPr>
        <w:t>E. 4.2.2</w:t>
      </w:r>
    </w:p>
    <w:p>
      <w:r>
        <w:t>Selon la recourante, le graphisme de la marque attaquée consiste en l'utilisation de lettres de taille variable, d'un style arrondi et instable. Les deux signes comporteraient tous les deux quatre lettres et seraient par conséquent de longueur identique. Dans les deux cas, les signes seraient écrits en lettres majuscules. Les lettres "M", "E" et "O" se retrouveraient dans les deux signes et aux mêmes endroits. Ces trois lettres seraient clairement lisibles dans la marque attaquée. De par son graphisme, la troisième lettre de la marque attaquée, laquelle pourrait être perçue comme un "S", serait de nature à poser des difficultés de lecture et à susciter des associations d'idées avec la lettre "C" de la marque opposante et à entraîner des risques de confusion avec cette dernière. La seule différence existant entre les signes porterait donc sur un unique élément qui ne serait que difficilement perceptible et compréhensible. Le consommateur qui serait habitué à voir des marques combinant "de façon inventive" des lettres comme par exemple les doubles "C" de Chanel ou de Cartier, ou les "G" entrelacés de Gucci, pourrait également voir dans ce "S" un "C" prolongé d'un autre "C" placé à l'envers. Le consommateur doté d'une attention moyenne qui n'a pas les deux marques en même temps sous les yeux pourrait percevoir aussi le "S" de la marque attaquée comme un rappel du "C" de la marque opposante. Il ne serait pas exclu non plus que certains consommateurs lisent dans la marque attaquée "MECSO" ou "MESCO", soit un "S" combiné avec un "C". Le graphisme de la marque attaquée ne permettrait pas de différencier les deux marques. Ce serait donc à tort que l'autorité inférieure n'aurait pas retenu une similitude entre les deux signes sur le plan visuel. Il ne serait par conséquent pas du tout exclu que celle-ci soit prononcée "MECSO" ou "MESCO". Dans un tel cas de figure, la similarité phonétique des signes serait très forte. Par ailleurs et si le consommateur perçoit dans la marque attaquée le mot "MESO", les signes seraient également similaires sur le plan phonétique : les deux marques comporteraient en effet deux syllabes, auraient la même cadence et la même suite de voyelles "E" "O". Le début des deux marques "ME" et la fin "O", qui auraient un poids déterminant dans l'impression d'ensemble des signes, seraient identiques. Selon la recourante, la modification d'une seule consonne placée au milieu du signe ne changerait pas l'impression d'ensemble : la marque opposante et la marque attaquée seraient similaires sur le plan phonétique, au même titre que, par exemple, les marques "Banago/Banaco" (ZBJV 73/1937 445), "Nago/Napro" (ATF 72 II 188), "AESCULAP/AESKULAP (fig.)" (sic! 2002 609), "Aviagen (fig.)/Aviogen" (sic! 2006 756). Que l'on lise la marque attaquée "MECSO", "MESCO" ou "MESO", dans tous les cas, elle serait similaire sur le plan phonétique à la marque "MECO". Dans le mot "MECO", le "C" n'aurait pas de caractère prépondérant et ne conférerait pas au mot son identité phonétique et verbale ; au contraire, la syllabe "ME", de par sa position dans le mot, serait prononcée de manière plus accentuée que la syllabe "CO". La recourante conteste que le son "ZO" soit prépondérant dans la marque attaquée. Dans les deux cas, l'accent porterait davantage sur la première syllabe "ME" et la terminaison "O". La modification de la troisième lettre du mot ne suffirait pas à modifier l'impression phonétique d'ensemble qui serait caractérisée essentiellement par le début du mot, la première syllabe, la suite des voyelles, le nombre de syllabes, la cadence et la terminaison du mot. Ce serait donc à tort que l'autorité inférieure aurait considéré qu'il n'existe qu'une possible et vague similitude phonétique entre les deux signes. Même si le mot "MESO" dérive de "mésos", soit "au milieu" en grec ancien, il ne serait à l'évidence pas immédiatement compris comme tel dans toutes les régions linguistiques du pays. Aucun des deux signes n'aurait ainsi de signification immédiatement compréhensible dans l'ensemble des régions linguistiques du pays, laquelle permettrait de contrebalancer les similitudes visuelles et auditives entre ces derniers. Ce serait donc à tort que l'autorité inférieure n'aurait pas retenu de similarité entre les deux signes.</w:t>
      </w:r>
    </w:p>
    <w:p>
      <w:r>
        <w:rPr>
          <w:b/>
        </w:rPr>
        <w:t>E. 4.2.3</w:t>
      </w:r>
    </w:p>
    <w:p>
      <w:r>
        <w:t>Suivant la motivation de la décision querellée, l'intimée soutient que les signes en cause ne sont pas similaires visuellement, puisque la marque attaquée est "un amalgame de lettres stylisées" qui ne sont pas distinctes. Avec attention et imagination, il serait possible que le consommateur perçoive une combinaison de lettres, soit "M E S O". Toutefois, la présentation serait si différente d'un ensemble de lettres présenté dans une police ordinaire, comme c'est le cas pour une marque verbale, qu'il n'y aurait pas de similitude. Il serait possible aussi de voir un "G" à la place du "E". Quand bien même l'utilisation commune des lettres "M", "E" et "O" serait retenue, les deux marques laisseraient une impression visuelle fort différente du fait de la particularité graphique forte de la marque attaquée. Celle-ci présenterait une lettre "S" ayant une hauteur près de deux fois supérieure à la hauteur des lettres "M" et "E" qui la précèdent et qui seraient ainsi effacées. Les lettres "S" et "O" présenteraient une forme arrondie très similaire. La boucle supérieure de la lettre "S" serait fermée par la portion supérieure de la lettre "O" sur laquelle elle s'appuie. Cette dernière serait également plus grande que les lettres "M" et "E". La syllabe "SO" attirerait ainsi davantage l'attention du consommateur. La signature graphique particulière du mot offrirait la forme de trois cercles juxtaposés, formés par les boucles accentuées de la lettre "S" et la lettre "O". Le "S" ne serait pas propre à susciter des associations d'idées avec le "C" de "MECO" ; au contraire, puisque le "S" aurait un graphisme très particulier qui ne pourrait en aucune manière faire référence à un "C". L'élément graphique de la marque attaquée, singulier et distinctif, serait important et primerait l'élément verbal. Les deux marques ne seraient donc pas similaires sur le plan visuel. Si tant est que le consommateur soit en mesure de percevoir les "lettres amalgamées", la syllabe "ME" ne serait pas appuyée phonétiquement ; son impression verbale serait neutre. Ce serait la consonne suivant le phonème "M" qui dominerait et conférerait au mot son identité phonétique et verbale. On retiendrait donc du mot "MECO" la syllabe finale "CO" qui se prononcerait par un fort tassement de la partie arrière de la langue sur le palais et engagerait un mouvement d'expiration. La sonorité de la consonne "C" juxtaposée à la voyelle "O" s'apparenterait à la sonorité de la consonne "K" qui serait cassante et qui accentuerait la séparation sonore des deux syllabes. Il y aurait deux sons distincts "ME" et "CO" réunis en un mot duquel un auditeur percevrait une prépondérance du son "K". S'agissant de la marque attaquée, la consonne "S" permettrait une liaison entre les voyelles "E" et "O". La syllabe "SO" se prononcerait "ZO", par une pression du bout de la langue sur l'avant du palais. Les sons "ME" et "ZO" réunis se prononceraient de façon continue, un auditeur percevant une prépondérance du son "ZO", mais sans cassure. L'élément verbal court des deux marques ne ferait que confirmer le faible danger que le public visé ne perçoive pas de différences phonétiques. Si, par hypothèse, de possibles et vagues similitudes phonétiques devaient être retenues, celles-ci ne seraient pas suffisantes pour entraîner un risque de confusion. Dérivé de l'ancien grec (mésos, misos signifiant "milieu", "qui est situé au milieu" ou "intermédiaire"), le préfixe "MESO" servirait à construire de nombreux mots du vocabulaire, notamment du vocabulaire scientifique. L'autorité inférieure omettrait le fait que "MECO" se réfèrerait très clairement au substantif féminin "MÉCA" ou "MECA" lequel serait un diminutif du mot "mécanique". On pourrait même supposer que "MECO" est l'abréviation de "Mechanics Company". Le mot "mécanique" se réfèrerait à tout ce qui concerne les lois du mouvement et de l'équilibre et notamment à la technique et aux objets physiques : énergie mécanique, génie mécanique, belle mécanique, mécanique de précision. Le mot "mécanique" serait utilisé en français et en anglais sans égard au niveau de langage. La définition de ce mot serait comprise par le consommateur, clairement et sans ambiguïté. L'activité unique de la recourante consistant à fabriquer des composantes mécaniques de précision pour l'horlogerie, l'utilisation du mot "MECO" par la recourante ne serait pas anodine. Celle-ci viendrait renforcer le parallèle entre les composantes horlogères produites par la recourante et la notion de précision mécanique. Par conséquent, en présence d'un mot "MESO" qui aurait un sens propre ("au milieu") et d'un mot "MECO" qui ferait en l'espèce référence à la mécanique, la similitude sémantique des marques en cause ne saurait être retenue.</w:t>
      </w:r>
    </w:p>
    <w:p>
      <w:r>
        <w:rPr>
          <w:b/>
        </w:rPr>
        <w:t>E. 4.2.4</w:t>
      </w:r>
    </w:p>
    <w:p>
      <w:r>
        <w:t>Le Tribunal quant à lui retient ce qui suit.</w:t>
      </w:r>
    </w:p>
    <w:p>
      <w:r>
        <w:rPr>
          <w:b/>
        </w:rPr>
        <w:t>E. 4.2.4.1</w:t>
      </w:r>
    </w:p>
    <w:p>
      <w:r>
        <w:t>Sur le plan visuel, l'observateur de la marque attaquée ("MESO [fig.]"), même s'il la considère d'abord comme figurative, va instinctivement vouloir y lire des lettres et il parviendra à le faire. La marque attaquée est donc bien une marque combinée composée d'éléments verbaux et graphiques. Le premier élément est un "M" majuscule qui semble déformé, comme une voile sous l'effet d'un souffle venant de la droite, ses empâtements et son sommet demeurant fixes. Le "E" qui suit est formé par trois barres horizontales réparties régulièrement le long de la jambe droite du "M" (M ). Il est vrai que les empâtements du "M" et du "E", qui prennent la forme de barres rectangulaires horizontales courtes, mais très larges, sont disproportionnés. Il est aussi vrai que la partie inférieure du "E" est fermée par la terminaison de la lettre "S" qui le suit (E ). En dépit de ces deux éléments, les lettres "M" et "E" sont tout à fait lisibles. De même, les deux grands points, visibles à la jonction de la jambe droite du "M" et à celle de l'empâtement du "E" avec de la partie inférieure du "S", n'empêchent pas l'observateur de lire ces trois lettres. La troisième lettre de la marque attaquée, un "S", est presque deux fois plus grande que les lettres "M" et "E" qui la précèdent, alors que la lettre "O" qui la suit est de taille intermédiaire. Ce "S", qui est agrandi et penché vers la droite, est parfaitement lisible. Contrairement à ce que soutient la recourante, il n'est pas susceptible de confusion avec un "C", comme le souligne à juste titre l'intimée ; la fermeture de la boucle supérieure du "S" par la partie supérieure gauche du "O" (S ) n'empêche pas la lecture du "S" en raison de la sinuosité très marquée de cette lettre. Avec le "O" qui le suit, le "S" domine le signe. Au total, l'observateur y verra des lettres "M", "E", "S" et "O". Dans ce sens, le signe "MESO (fig.)" a des points communs sur le plan graphique avec la marque opposante : ces deux marques comptent trois lettres communes (sur quatre) écrites en caractères majuscules, à savoir les lettres "M", "E" et "O" placées aux mêmes endroits dans chacune des marques (premières, deuxièmes et quatrièmes places). Bien que la marque attaquée présente des singularités graphiques, on ne peut ainsi pas exclure une certaine similarité visuelle entre les deux marques.</w:t>
      </w:r>
    </w:p>
    <w:p>
      <w:r>
        <w:rPr>
          <w:b/>
        </w:rPr>
        <w:t>E. 4.2.4.2</w:t>
      </w:r>
    </w:p>
    <w:p>
      <w:r>
        <w:t>Sur le plan phonétique, les deux marques comportent deux syllabes. Alors que la première syllabe est identique dans les deux cas ("ME", prononçable chaque fois "MÈ", "ME" ou encore "MÉ"), la seconde syllabe commence par une consonne différente dans chaque marque, à savoir les lettres "C", respectivement "S" ; toutes les deux se terminent pas la voyelle "O". Les deux marques qui sont de même longueur se prononcent à la même cadence. S'il n'est pas contesté que la seconde syllabe de la marque opposante se prononce "KO", celle de la marque attaquée est susceptible d'être prononcée de plusieurs manières : "ZO", selon les règles de prononciation habituelles (dans les trois langues officielles) ou "SSO". En revanche, compte tenu de son aspect graphique dont il ne peut pas ressortir la lettre "C" (consid. 4.2.4.1), il est exclu, contrairement à ce que soutient la recourante, que la marque attaquée soit prononcée "MECSO" ou "MESCO" par le consommateur. La jurisprudence retient que le début du mot et sa racine, de même que sa terminaison - surtout lorsque celle-ci reçoit une accentuation - suscitent plus l'attention que les syllabes intermédiaires non accentuées (ATF 127 III 160 consid. 2b/cc "Securitas", ATF 122 III 382 consid. 5a "Kamillosan"). Il faut constater que les deux signes opposés commencent de la même manière ("ME", "MÈ" ou "MÉ") et se terminent par le même son ("O"), un doute subsistant sur le son du dernier phonème ("SSO" ou "ZO"). Dès lors que l'on admet qu'il est possible de lire "MEZO" ou "MESSO" dans la marque attaquée, le Tribunal doit reconnaître une certaine similarité sur le plan phonétique avec la marque opposante "MECO".</w:t>
      </w:r>
    </w:p>
    <w:p>
      <w:r>
        <w:rPr>
          <w:b/>
        </w:rPr>
        <w:t>E. 4.2.4.3</w:t>
      </w:r>
    </w:p>
    <w:p>
      <w:r>
        <w:t>Le consommateur moyen pas plus que le spécialiste ne fera de lien entre le mot "MESO" et le mot "mesos" signifiant "au milieu" en grec ancien, soit dans une langue morte qui n'est pas l'une des langues officielles en Suisse qui sont déterminantes (arrêts du TAF B-3798/2014 du 19 novembre 2015 consid. 7.4.3 "REPSOL [fig.]/REXOIL [fig.]" et B 4862/2013 du 17 février 2015 consid. 5.3.4 in fine "OMEGA/OU MI JIA [fig.]"). Il n'apparaît pas d'emblée que le mot "MECO" se réfère au substantif "MÉCA" ou "MECA" qui serait un diminutif de "mécanique" : en effet, la lettre "O" du mot "MECO" ne se retrouve ni dans les diminutifs précités ni dans le mot "mécanique", ce qui fait obstacle à tout rapprochement sémantique. Le diminutif "mécano" (de "mécanique") ne se retrouve pas dans "MECO", de sorte que l'on peut aussi exclure cette hypothèse. De même, on ne saurait retenir que "MECO" soit le diminutif de "Mechanics Company" : le diminutif ne rependrait alors que les deux premières lettres des mots "Mecanics" et "Company", ce qui est insuffisant, sans autres explications ou références, pour que le consommateur le comprenne ainsi. Quand bien même il pourrait être possible de percevoir un lien entre la marque opposante "MECO" et la "mécanique" en relation avec les produits de l'horlogerie, aucune similitude sémantique ne se laisserait observer avec le sens de la marque attaquée ("au milieu") pour autant que cette signification puisse déjà être retenue. Aucune similitude sémantique entre les deux marques ne peut ainsi être constatée.</w:t>
      </w:r>
    </w:p>
    <w:p>
      <w:r>
        <w:rPr>
          <w:b/>
        </w:rPr>
        <w:t>E. 5</w:t>
      </w:r>
    </w:p>
    <w:p>
      <w:r>
        <w:t>Vu l'identité entre les produits concernés (consid. 3.3) et la faible similarité entre les signes en cause (consid. 4.2.4), il convient de déterminer s'il existe un risque de confusion entre les signes "MECO" et "MESO (fig.)".</w:t>
      </w:r>
    </w:p>
    <w:p>
      <w:r>
        <w:rPr>
          <w:b/>
        </w:rPr>
        <w:t>E. 5.1.1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 473 consid. 2c "Radion" et 122 III 382 consid. 1 "Kamillosan").</w:t>
      </w:r>
    </w:p>
    <w:p>
      <w:r>
        <w:rPr>
          <w:b/>
        </w:rPr>
        <w:t>E. 5.1.2</w:t>
      </w:r>
    </w:p>
    <w:p>
      <w:r>
        <w:t>L'appréciation du risque de confusion ne s'effectue pas en comparant abstraitement les signes, mais en prenant en considération toutes les circonstances du cas concret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du TAF B 4260/2010 du 21 décembre 2011 consid. 5.1 "Bally/BALU [fig.]" ; David, op. cit., art. 3 LPM no 8).</w:t>
      </w:r>
    </w:p>
    <w:p>
      <w:r>
        <w:rPr>
          <w:b/>
        </w:rPr>
        <w:t>E. 5.2</w:t>
      </w:r>
    </w:p>
    <w:p>
      <w:r>
        <w:t>La question du risque de confusion doit être examinée en tenant notamment compte du degré d'attention dont font preuve les destinataires des produits en cause (consid. 2.3 ; Joller, op. cit., art. 3 LPM nos 49 ss ; arrêt du TAF B 7352/2008 du 17 juin 2009 consid. 7 "Torres/Torre Saracena") et de l'étendue du champ de protection de la marque opposante (consid. 5.2.2).</w:t>
      </w:r>
    </w:p>
    <w:p>
      <w:r>
        <w:rPr>
          <w:b/>
        </w:rPr>
        <w:t>E. 5.2.1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 1077/2008 du 3 mars 2009 consid. 6 "Sky/SkySIM").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 5467/2011 du 20 février 2013 consid. 7.1.1-7.1.2.2 "NAVITIMER/ Maritimer" et B 1700/2009 du 11 novembre 2009 consid. 6.1 "OSCILLOCOCCINUM/ Anticoccinum"). 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 6821/2013 du 25 février 2015 consid. 7.3 "CLINIQUE/ Dermaclinique Beauty Farm [fig.]", B 5467/2011 du 20 février 2013 consid. 7.1.1 "NAVITIMER/ Maritimer" et B 7346/2009 du 27 septembre 2010 consid. 2.5 "Murolino/ Murino").</w:t>
      </w:r>
    </w:p>
    <w:p>
      <w:r>
        <w:rPr>
          <w:b/>
        </w:rPr>
        <w:t>E. 5.2.2</w:t>
      </w:r>
    </w:p>
    <w:p>
      <w:r>
        <w:t>La marque opposante ("MECO") n'est pas composée d'éléments particulièrement banals ou d'éléments dérivant d'indications descriptives utilisées dans le langage courant. Partant, la marque opposante n'est pas une marque faible. Comme il ne peut pas être considéré qu'elle résulte d'un acte particulièrement créatif et encore moins, sur le vu du dossier, qu'elle se soit établie sur le marché en s'exposant ainsi à des essais de rapprochement, il ne peut pas être retenu non plus qu'il s'agisse d'une marque forte. Partant, la marque opposante jouit d'une force distinctive et d'un champ de protection normaux en lien avec les produits revendiqués.</w:t>
      </w:r>
    </w:p>
    <w:p>
      <w:r>
        <w:rPr>
          <w:b/>
        </w:rPr>
        <w:t>E. 5.3</w:t>
      </w:r>
    </w:p>
    <w:p>
      <w:r>
        <w:t>Le Tribunal examinera le risque de confusion en tenant compte plus particulièrement de deux éléments : l'importance de l'aspect graphique de la marquée attaquée (consid. 5.4.1) et une analyse phonétique des deux marques (consid. 5.4.2).</w:t>
      </w:r>
    </w:p>
    <w:p>
      <w:r>
        <w:rPr>
          <w:b/>
        </w:rPr>
        <w:t>E. 5.3.1</w:t>
      </w:r>
    </w:p>
    <w:p>
      <w:r>
        <w:t>La présente cause oppose une marque verbale ("MECO") et une marque combinée ("MESO [fig.]"). D'une manière générale, l'impression d'ensemble qui se dégage d'une marque combinée est caractérisée par les éléments verbaux lorsque les éléments graphiques ne sont pas particulièrement originaux et que ceux ci ne sont pas en mesure de conférer à la marque une image facile à retenir (arrêts du TAF B-461/2013 du 21 janvier 2015 consid. 9.1 "SPORTS [fig.]/zoo sport [fig.]" et B-4159/2009 du 25 novembre 2009 consid. 2.4 [et les références citées] "Efe [fig.]/Eve"). Plus précisément, le Tribunal a dit qu'en présence d'une police de caractères très banale, il y avait lieu de comparer les deux marques comme s'il s'agissait de deux marques purement verbales (arrêts du TAF B 4862/2013 du 17 février 2015 consid. 5.4.1 "OMEGA/OU MI JIA [fig.]" et B-4159/2009 du 25 novembre 2009 consid. 2.4 "EFE [fig.]/EVE"). Or, en l'espèce, la marque attaquée se présente sous une forme graphique singulière : elle est composée d'une ou plusieurs polices de caractères, elles-mêmes déformées ; voir consid. 4.2.4.1). Dans ce sens, elle présente une originalité particulière. La marque attaquée n'utilise en effet pas une police de caractères banale, ne serait-ce que parce que les caractères ne relèvent pas, comme le remarque la recourante elle-même, de la norme ISO 8859/15 relative au codage des caractères de l'Organisation internationale de normalisation. Il s'ensuit que les deux marques ne peuvent pas être considérées comme s'il s'agissait de deux marques purement verbales. De plus, la police de caractères n'est d'ailleurs pas descriptive en elle-même dès lors qu'elle n'évoque en rien les produits revendiqués appartenant au monde de l'horlogerie (consid. 3.3). Par ailleurs, la recourante se contredit en soutenant que la marquée attaquée pourrait faire l'objet de différentes lectures (consid. 4.2.2) ; si cela était vrai, cela accréditerait bien l'idée que la graphie de cette marque présente bien un caractère original. Au total, cette graphie, qui ne peut être considérée comme banale, mais comme originale, doit entrer en ligne de compte dans l'appréciation du risque de confusion avec la marque opposée et amener à écarter un tel risque (dans le même sens : p.ex. arrêt du TAF B-7486/2006 du 4 février 2018 consid. 7.4 "BOOSTER/Turbo Booster [fig.]").</w:t>
      </w:r>
    </w:p>
    <w:p>
      <w:r>
        <w:rPr>
          <w:b/>
        </w:rPr>
        <w:t>E. 5.3.2.1</w:t>
      </w:r>
    </w:p>
    <w:p>
      <w:r>
        <w:t>Le Tribunal fédéral estime que lorsque l'on est en présence d'un signe bref, comme en l'espèce, de petits changements sont susceptibles d'écarter tout risque de confusion. Selon le Tribunal fédéral, la longueur des marques verbales est importante. Les mots brefs se laissent saisir acoustiquement et optiquement plus facilement que les mots longs, et ils se gardent plus facilement en mémoire. Cela diminue le danger que des différences échappent au public. Les confusions par suite d'une erreur de lecture et d'écoute sont donc moins fréquentes pour les signes plus brefs (ATF 121 III 377 consid. 2b "Boss" ; arrêt du TF 4A_300/2013 du 2 octobre 2013 consid. 7.2 "Nafa/Nova").</w:t>
      </w:r>
    </w:p>
    <w:p>
      <w:r>
        <w:rPr>
          <w:b/>
        </w:rPr>
        <w:t>E. 5.3.2.2</w:t>
      </w:r>
    </w:p>
    <w:p>
      <w:r>
        <w:t>Dans ce contexte, il faut analyser ce que le changement d'une seule consonne placée au milieu du signe change en ce qui concerne l'impression d'ensemble. Du côté de la marque attaquée, prononcée le plus vraisemblablement "MESSO" ou "MEZO" (consid. 4.2.4.2), la consonne "S" comme la consonne "Z" sont dites fricatives alvéolaires (sur l'ensemble des questions de phonétique : https://fr.wikiversity.org/ wiki/ Alphabet_phon%C3%A9tique_international, consulté le 16 août 2016). La qualification "fricative" signifie que la consonne est produite en contractant l'air à travers une voie étroite au point d'articulation, causant de la turbulence ; la qualification "alvéolaire" signifie que la consonne est articulée au point de contact de la langue avec les alvéoles des dents de la mâchoire supérieure. Ces consonnes fricatives alvéolaires s'opposent en cela à la consonne "C", du côté de la marque opposante ("MECO"), qui est dite occlusive. Une consonne occlusive est produite en obstruant l'air du chenal vocal. Il y a donc une différence notable dans les sons produits par la consonne "C", respectivement par les consonnes "S" et "Z" dans la mesure où elles sont produites par l'appareil vocal de manière très distincte. Cela écarte déjà en l'espèce l'application de la règle jurisprudentielle invoquée par la recourante selon laquelle l'adjonction, la modification ou l'abandon d'une syllabe intermédiaire ne change en général rien à l'impression d'ensemble. Il n'y a au demeurant pas de syllabe intermédiaire ici, ce qui exclut totalement l'application de cette jurisprudence. Il s'avère que la différence phonétique n'est en l'espèce pas faible, mais au contraire très marquée.</w:t>
      </w:r>
    </w:p>
    <w:p>
      <w:r>
        <w:rPr>
          <w:b/>
        </w:rPr>
        <w:t>E. 5.3.2.3</w:t>
      </w:r>
    </w:p>
    <w:p>
      <w:r>
        <w:t>La situation serait autre si l'on était en présence de deux consonnes occlusives (p.ex. "MEBO" et "MEPO" ; tel était le cas dans la cause opposant les marques "Banago/Banaco" [ZBJV 73/1937 445] mobilisée par la recourante) ou de deux consonnes fricatives alvéolaires (p.ex. "MEZO" et "MESSO"). De la même manière que le Tribunal fédéral avait retenu que la marque "Boss" possède un son rond, par opposition à la marque "Boks" qui a quelque chose de haché en raison du "KS" qui se prononce comme "X", il faut retenir que la marque opposante "MECO" est hachée, contrairement à la marque attaquée prononcée "MEZO" ou "MESSO" qui est lisse. Il est vrai que la jurisprudence "Boss/Boks" concernait des marques monosyllabiques, sans pour autant qu'il soit exclu qu'elle puisse s'appliquer à d'autres marques brèves, quoique bi-, voire pluri syllabiques. A ce titre, la jurisprudence a carrément exclu la similarité des signes dans le cas de signes bi-, voire trisyllabiques (p. ex. "E.B.I." et "ETI" qui se prononcent respectivement "É-B-I" et "É-TI" [arrêt du TAF B 3030/2010 du 2 novembre 2010 consid. 5.2.2 "ETI/E.B.I."]). Il n'y a donc pas d'obstacle à retenir qu'en l'espèce une grande différence sonore peut exclure le risque de confusion entre deux marques bi-syllabiques.</w:t>
      </w:r>
    </w:p>
    <w:p>
      <w:r>
        <w:rPr>
          <w:b/>
        </w:rPr>
        <w:t>E. 5.4</w:t>
      </w:r>
    </w:p>
    <w:p>
      <w:r>
        <w:t>Au total, la marque attaquée ("MESO [fig.]") se distingue clairement de la marque opposante ("MESO") par sa dimension graphique qui s'ajoute aux différences sonores importantes pour exclure tout risque de confusion.</w:t>
      </w:r>
    </w:p>
    <w:p>
      <w:r>
        <w:rPr>
          <w:b/>
        </w:rPr>
        <w:t>E. 6</w:t>
      </w:r>
    </w:p>
    <w:p>
      <w:r>
        <w:t>Compte tenu de ce qui précède, la décision de l'autorité inférieure doit être confirmée et le recours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50'000 francs et 100'000 francs (ATF 133 III 490 consid. 3.3 "Turbinenfuss [3D]").</w:t>
      </w:r>
    </w:p>
    <w:p>
      <w:r>
        <w:rPr>
          <w:b/>
        </w:rPr>
        <w:t>E. 7.2</w:t>
      </w:r>
    </w:p>
    <w:p>
      <w:r>
        <w:t>En l'espèce, les frais de procédure doivent être fixés à 4'000 francs et mis à la charge de la recourante qui succombe. Ce montant est compensé par l'avance de frais de 4'000 francs déjà versée par la recourante.</w:t>
      </w:r>
    </w:p>
    <w:p>
      <w:r>
        <w:rPr>
          <w:b/>
        </w:rPr>
        <w:t>E. 8.1</w:t>
      </w:r>
    </w:p>
    <w:p>
      <w:r>
        <w:t>L'intimée, qui obtient gain de cause et qui est représentée par un mandataire, a droit à des dépens (art. 64 al. 1 PA en relation avec l'art. 7 al. 1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w:t>
      </w:r>
    </w:p>
    <w:p>
      <w:r>
        <w:rPr>
          <w:b/>
        </w:rPr>
        <w:t>E. 8.2</w:t>
      </w:r>
    </w:p>
    <w:p>
      <w:r>
        <w:t>En l'espèce, l'intimée n'a pas présenté de note de frais. Ainsi, sur la base du dossier, il lui est équitablement alloué, à la charge de la recourante, une indemnité de 3'000 francs ex aequo et bono (y compris supplément de TVA selon l'art. 9 al. 1 let. c FITAF) à titre de dépens pour la procédure de recours.</w:t>
      </w:r>
    </w:p>
    <w:p>
      <w:r>
        <w:rPr>
          <w:b/>
        </w:rPr>
        <w:t>E. 9</w:t>
      </w:r>
    </w:p>
    <w:p>
      <w:r>
        <w:t>Le présent arrêt est définitif (art. 73 LTF).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