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B-1132/2019 vom 15. Oktober 2019</w:t>
      </w:r>
    </w:p>
    <w:p>
      <w:r>
        <w:t>Bundesverwaltungsgericht, 2019-10-15, DE</w:t>
      </w:r>
    </w:p>
    <w:p>
      <w:r>
        <w:rPr>
          <w:b/>
        </w:rPr>
        <w:t xml:space="preserve">Quelle: </w:t>
      </w:r>
      <w:r>
        <w:t>https://mcp.opencaselaw.ch/entscheid/bvger_B-1132_2019</w:t>
      </w:r>
    </w:p>
    <w:p>
      <w:r>
        <w:t>FR: TAF B-1132/2019 du 15 octobre 2019</w:t>
      </w:r>
    </w:p>
    <w:p>
      <w:r>
        <w:t>IT: TAF B-1132/2019 del 15 ottobre 2019</w:t>
      </w:r>
    </w:p>
    <w:p>
      <w:pPr>
        <w:pStyle w:val="Heading2"/>
      </w:pPr>
      <w:r>
        <w:t>Regeste</w:t>
      </w:r>
    </w:p>
    <w:p>
      <w:r>
        <w:t>Übriges</w:t>
      </w:r>
    </w:p>
    <w:p>
      <w:pPr>
        <w:pStyle w:val="Heading2"/>
      </w:pPr>
      <w:r>
        <w:t>Erwägungen</w:t>
      </w:r>
    </w:p>
    <w:p>
      <w:r>
        <w:rPr>
          <w:b/>
        </w:rPr>
        <w:t>E. 1</w:t>
      </w:r>
    </w:p>
    <w:p>
      <w:r>
        <w:t>Ob die Prozessvoraussetzungen erfüllt sind und auf eine Beschwerde einzutreten ist, prüft das Bundesverwaltungsgericht von Amtes wegen und mit freier Kognition (vgl. BGE 130 II 65 E. 1; BVGE 2007/6 E. 1).</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sofern - wie im vorliegenden Fall - keine Ausnahme nach Art. 32 VGG vorliegt. Als Vorinstanzen gelten die in Art. 33 VGG genannten Behörden. Da hier eine Vorinstanz nach Art. 33 Bst. e VGG verfügt hat, ist das Bundesverwaltungsgericht zur Beurteilung der vorliegenden Beschwerde gegen die Verfügung vom 6. Februar 2019 zuständig.</w:t>
      </w:r>
    </w:p>
    <w:p>
      <w:r>
        <w:rPr>
          <w:b/>
        </w:rPr>
        <w:t>E. 1.2</w:t>
      </w:r>
    </w:p>
    <w:p>
      <w:r>
        <w:t>Das Verfahren vor dem Bundesverwaltungsgericht richtet sich, soweit das VGG nichts anderes vorsieht, nach dem VwVG (Art. 37 VGG).</w:t>
      </w:r>
    </w:p>
    <w:p>
      <w:r>
        <w:rPr>
          <w:b/>
        </w:rPr>
        <w:t>E. 1.3</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Beschwerdeführerin hat am vorinstanzlichen Verfahren teilgenommen und ist als Adressatin der angefochtenen Verfügung sowohl formell als auch materiell beschwert. Folglich ist sie zur Beschwerdeführung legitimiert.</w:t>
      </w:r>
    </w:p>
    <w:p>
      <w:r>
        <w:rPr>
          <w:b/>
        </w:rPr>
        <w:t>E. 1.4</w:t>
      </w:r>
    </w:p>
    <w:p>
      <w:r>
        <w:t>Nachdem auch der verlangte Kostenvorschuss rechtzeitig geleistet wurde, ist auf die frist- und formgerecht eingereichte Beschwerde (Art. 50 und 52 VwVG) grundsätzlich einzutreten.</w:t>
      </w:r>
    </w:p>
    <w:p>
      <w:r>
        <w:rPr>
          <w:b/>
        </w:rPr>
        <w:t>E. 2</w:t>
      </w:r>
    </w:p>
    <w:p>
      <w:r>
        <w:t>Das Bundesverwaltungsgericht überprüft den angefochtenen Entscheid auf Verletzung von Bundesrecht - einschliesslich der unrichtigen oder unvollständigen Feststellung des Sachverhalts und Überschreitung oder Missbrauch des Ermessens - sowie grundsätzlich auch auf Angemessenheit hin (Art. 49 VwVG). Die Rechtsanwendung erfolgt von Amtes wegen, ohne Bindung an die Begründung der Parteibegehren (Art. 62 Abs. 4 VwVG).</w:t>
      </w:r>
    </w:p>
    <w:p>
      <w:r>
        <w:rPr>
          <w:b/>
        </w:rPr>
        <w:t>E. 3.1</w:t>
      </w:r>
    </w:p>
    <w:p>
      <w:r>
        <w:t>Die Akkreditierung wird im Bundesgesetz über die technischen Handelshemmnisse vom 6. Oktober 1995 (THG, SR 946.51) geregelt. Dieses definiert die Akkreditierung als "die formelle Anerkennung der Kompetenz einer Stelle, bestimmte Prüfungen oder Konformitätsbewertungen durchzuführen" (Art. 3 Bst. o THG). In Art. 10 THG werden dem Bundesrat insbesondere die Kompetenzen verliehen, ein System zur Akkreditierung von Prüf- und Konformitätsbewertungsstellen zu schaffen (Abs. 1) und dabei Zuständigkeiten für die Erteilung von Akkreditierungen, Anforderungen und Verfahren der Akkreditierung sowie die Rechtsstellung akkreditierter Stellen und die Rechtswirkungen ihrer Tätigkeit festzulegen (Abs. 2).</w:t>
      </w:r>
    </w:p>
    <w:p>
      <w:r>
        <w:rPr>
          <w:b/>
        </w:rPr>
        <w:t>E. 3.2</w:t>
      </w:r>
    </w:p>
    <w:p>
      <w:r>
        <w:t>Darauf gestützt hat der Bundesrat die Verordnung über das schweizerische Akkreditierungssystem und die Bezeichnung von Prüf-, Konformitätsbewertungs-, Anmelde- und Zulassungsstellen (Akkreditierungs- und Bezeichnungsverordnung [AkkBV], SR 946.512) erlassen. Die Begutachtung eines Akkreditierungsgesuchs hat nach den international massgebenden Anforderungen zu erfolgen, wie sie insbesondere in den Normen und Grundsätzen nach deren Anhang 1 zum Ausdruck kommen (Art. 9 AkkBV). Zum Begutachtungsablauf regelt die Verordnung, dass ein Gesuchsteller den Begutachtern Zutritt zu seinen Räumlichkeiten und Einrichtungen zu gewähren sowie alle Auskünfte zu erteilen hat, die für die Begutachtung seines Gesuchs notwendig sind (Art. 12 AkkBV). Die SAS gibt dem Gesuchsteller das Ergebnis der Begutachtung bekannt und gibt ihm Gelegenheit zur Stellungnahme. Auf dieser Grundlage fertigt der leitende Begutachter einen Antrag auf Akkreditierung, auf Akkreditierung mit Auflagen oder Bedingungen oder auf Nichtakkreditierung aus. Die SAS stellt diesen der Akkreditierungskommission zur Stellungnahme zu (Art. 13 Abs. 1 und 2 AkkBV). Die Kosten der Begutachtung hat die Stelle zu tragen, die sie im Rahmen von Verfahren nach der Verordnung verursacht. Die Ansätze richten sich nach den jeweiligen Gebührenvorschriften der für das entsprechende Verfahren zuständigen Behörde (Art. 37 AkkBV). Vorliegend ist dies die Verordnung über die Gebühren des Staatssekretariats für Wirtschaft im Bereich der Akkreditierung (GebV-Akk, SR 946.513.7), welche die Gebühren für Verfügungen und Dienstleistungen des Staatssekretariats für Wirtschaft (SECO) bzw. der SAS auf dem Gebiet der Akkreditierung regelt (Art. 1 Abs. 1 GebV-Akk). Diese verweist in ihrem Art. 1 Abs. 2 auf die Bestimmungen der Allgemeinen Gebührenverordnung (AllgGebV, SR 172.041.1), soweit sie selbst keine besondere Regelung enthält.</w:t>
      </w:r>
    </w:p>
    <w:p>
      <w:r>
        <w:rPr>
          <w:b/>
        </w:rPr>
        <w:t>E. 3.3</w:t>
      </w:r>
    </w:p>
    <w:p>
      <w:r>
        <w:t>Art. 1a GebV-Akk hält ausdrücklich fest, dass wer im Bereich der Akkreditierung eine Verfügung veranlasst oder eine Dienstleistung beansprucht, eine Gebühr bezahlen muss. Auslagen sind Bestandteil der Gebühr und werden gesondert berechnet (Art. 3 Abs. 1 GebV-Akk). Als Auslagen gelten auch die Kosten für beigezogene Dritte sowie Reise- und Transportkosten (Art. 6 AllgGebV). Die Gebühren berechnen sich nach Zeitaufwand. Der Gebührenansatz für eine Arbeitsstunde beträgt Fr. 130.- für Mitarbeiterinnen und Mitarbeiter des Administrativbereichs bzw. Fr. 220.- für leitende Begutachterinnen und Begutachter des Akkreditierungsbereichs (Art 6 GebV-Akk).</w:t>
      </w:r>
    </w:p>
    <w:p>
      <w:r>
        <w:rPr>
          <w:b/>
        </w:rPr>
        <w:t>E. 3.4</w:t>
      </w:r>
    </w:p>
    <w:p>
      <w:r>
        <w:t>Gemäss Art. 4 GebV-Akk unterrichtet das SECO die gebührenpflichtige Person vorgängig über die voraussichtlich anfallenden Kosten (vgl. Art. 9 AllgGebV, welche diese Pflicht nur bei Verfügungen normiert, welche einen aussergewöhnlichen Aufwand erfordern). Für länger dauernde Arbeiten kann das SECO Teilleistungen in Rechnung stellen (Art. 5 Abs. 1 GebV-Akk). Bei Zahlungsrückstand kann die Ausführung der gebührenpflichtigen Tätigkeit abgebrochen werden (Art. 5 Abs. 3 GebV-Akk). In begründeten Fällen, insbesondere bei Wohnsitz im Ausland oder bei Zahlungsrückständen, kann die Verwaltungseinheit einen angemessenen Vorschuss oder Vorauszahlung verlangen (Art. 10 AllgGebV). Grundsätzlich stellt sie die Gebühr unmittelbar nach Ausführung der Dienstleistung in Rechnung (Art. 11 Abs. 1 AllgGebV), eine allgemeine Pflicht zur Vorauszahlung besteht damit nicht. Bei Streitigkeiten über die Rechnung hat die Verwaltungseinheit eine Gebührenverfügung zu erlassen (Art. 11 Abs. 2 AllgGebV). Bei bestrittener Rechnung wird die Gebühr mit der Rechtskraft der Gebührenverfügung fällig, wobei eine Zahlungsfrist von 30 Tagen gilt (Art. 12 Abs. 1 Bst. c, Abs. 2 AllgGebV).</w:t>
      </w:r>
    </w:p>
    <w:p>
      <w:r>
        <w:rPr>
          <w:b/>
        </w:rPr>
        <w:t>E. 4</w:t>
      </w:r>
    </w:p>
    <w:p>
      <w:r>
        <w:t>Die Beschwerdeführerin erachtet die Rechnungsstellung für Leistungen des leitenden Begutachters (Rechnung 1101020513 vom 31.07.2018) nicht nur aufgrund des aus ihrer Sicht teilweise unplausibeln bzw. unverhältnismässig hohen geltend gemachten Aufwands als unrechtmässig; sie bestreitet vielmehr auch die Fälligkeit der Forderung an sich. Dies mit der Begründung, das Qualitätsmanagementsystem beschlage alle zur Reakkreditierung beantragten Messbereiche; da die Begutachtung im Bereich Temperatur noch ausstehe liege keine abgeschlossene Teilleistung vor, für die gemäss Art. 5 Abs. 1 GebV-Akk (vgl. E. 3.4.) Rechnung gestellt werden könnte (Beschwerde, S. 2; Ziff. H.b.).</w:t>
      </w:r>
    </w:p>
    <w:p>
      <w:r>
        <w:rPr>
          <w:b/>
        </w:rPr>
        <w:t>E. 4.1</w:t>
      </w:r>
    </w:p>
    <w:p>
      <w:r>
        <w:t>Die Vorinstanz hielt bereits in Ziff. I.10 der angefochtenen Verfügung fest, dass das Qualitätsmanagementsystem unabhängig von der Anzahl eingesetzter Verfahren die relevanten Anforderungen erfüllen müsse. In ihrer Vernehmlassung vom 15. April 2019 erläuterte sie weiter, die erfolgte Prüfung des Qualitätsmanagementsystems stelle eine zwingende Grundlage für die bereits akkreditierten Bereiche der Beschwerdeführerin dar; Vorbereitungsarbeiten zum Bereich Temperatur seien in der bestrittenen Rechnung nicht enthalten (S. 2). Schon mit Schreiben vom 23. November 2018 stellte sie zudem in Aussicht, der Beschwerdeführerin für die Begutachtung im Bereich Temperatur (abgesehen von den Aufwänden des Fachexperten) keine zusätzlichen Aufwände des Leitenden Begutachters in Rechnung zu stellen, sofern keine ausserordentlichen zusätzlichen Aufwände anfielen (Vorinstanz, act. 8; vgl. Ziff. F.h). Die Beschwerdeführerin äusserte sich in Ihrer Stellungnahme vom 28. April 2019 nicht mehr zur Frage der Fälligkeit. Aus ihren vorangehenden Eingaben geht jedoch klar hervor, dass auch sie davon ausgeht, dass das Qualitätsmanagementsystem den Bereich "Kalibrierung von Temperaturanzeigegeräten" mitbeschlägt. Dass die entsprechenden Aufwände erbracht wurden, stellt die Beschwerdeführerin nicht in Abrede. Auch aus den Akten geht nichts hervor, aus dem sich etwas Anderes schliessen liesse. Inwiefern von einer noch nicht abgeschlossenen Teilleistung auszugehen wäre, ist daher nicht ersichtlich. Die gestützt auf Art. 5 Abs. 1 GebV-Akk ergangene Rechnungsstellung der Vorinstanz erweist sich somit als grundsätzlich zulässig.</w:t>
      </w:r>
    </w:p>
    <w:p>
      <w:r>
        <w:rPr>
          <w:b/>
        </w:rPr>
        <w:t>E. 4.2</w:t>
      </w:r>
    </w:p>
    <w:p>
      <w:r>
        <w:t>Da Feststellungsbegehren zu Leistungsbegehren subsidiär und nur zulässig sind, wenn daran ein schutzwürdiges Feststellungsinteresse besteht (BGE 137 II 199 E. 6.5 S. 218; 126 II 300 E. 2c S. 303) ist unter diesen Umständen auf den Antrag der Beschwerdeführerin, "es sei festzustellen dass die Gebühr erst nach Abschluss des gesamten Akkreditierungsverfahrens fällig ist", nicht einzutreten.</w:t>
      </w:r>
    </w:p>
    <w:p>
      <w:r>
        <w:rPr>
          <w:b/>
        </w:rPr>
        <w:t>E. 4.3</w:t>
      </w:r>
    </w:p>
    <w:p>
      <w:r>
        <w:t>Zu prüfen bleibt, ob die in Rechnung gestellt Gebühr rechtmässig bzw. ob der deren Bemessung zugrunde liegende, geltend gemachte Aufwand, wie die Beschwerdeführerin rügt, effektiv nicht plausibel resp. unverhältnismässig hoch veranschlagt worden ist.</w:t>
      </w:r>
    </w:p>
    <w:p>
      <w:r>
        <w:rPr>
          <w:b/>
        </w:rPr>
        <w:t>E. 4.3.1</w:t>
      </w:r>
    </w:p>
    <w:p>
      <w:r>
        <w:t>Die hier strittige Gebühr für Dienstleistungen der Vorinstanz auf dem Gebiet der Akkreditierung ist den Kausalabgaben zuzurechnen. Die Verpflichtung zu einer öffentlich-rechtlichen Geldleistung bedarf einer formell-gesetzlichen Grundlage, welche die Leistungspflicht mindestens in den Grundzügen festlegt (Art. 127 Abs. 1 BV). Delegiert der Gesetzgeber, wie hier in Art. 16 THG, die Kompetenz zur Festlegung einer Abgabe an eine nachgeordnete Behörde, so muss er zumindest den Kreis der Abgabepflichtigen, den Gegenstand und die Bemessungsgrundlage selber festlegen. Das Erfordernis der Bestimmtheit kann bei gewissen Arten von Kausalabgaben gelockert werden, wo das Mass der Abgabe durch überprüfbare verfassungsrechtliche Prinzipien (Kostendeckungs- und Äquivalenzprinzip) begrenzt wird und nicht allein der Gesetzesvorbehalt diese Schutzfunktion erfüllt (vgl. Urteil des BGer 9C_82/2017 vom 31. Mai 2017 E. 3.2). Das Kostendeckungsprinzip besagt, dass der Gebührenertrag die gesamten Kosten des betreffenden Verwaltungszweigs nicht oder nur geringfügig übersteigen soll. Das Äquivalenzprinzip konkretisiert das Verhältnismässigkeitsprinzip und das Willkürverbot für den Bereich der Kausalabgaben (Art. 5 Abs. 2 und Art. 9 BV).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(vgl. Urteil des BGer 2C_399/2017 vom 28. Mai 2018 E. 8.4.1 mit Hinweis auf BGE 143 I 220 E. 5.2.2, 143 I 147 E. 6.3.1 und 141 I 105 E. 3.3.2; BVGE 2008/41 E. 5.3.1; Urteil des BVGer C-1264/2013 vom 2. Mai 2014 E. 3.2; Häfelin/Müller/Uhlmann, Allgemeines Verwaltungsrecht, 7. Aufl. 2016, Rz. 2777 ff.). Eine gewisse Pauschalierung oder Schematisierung ist zulässig und mit der Rechtsgleichheit vereinbar (vgl. BGE 139 I 138 E. 3.5; 138 II 111 E. 5.3.4; 137 I 257 E. 6.1.1; 129 I 290 E. 3.2).</w:t>
      </w:r>
    </w:p>
    <w:p>
      <w:r>
        <w:rPr>
          <w:b/>
        </w:rPr>
        <w:t>E. 4.3.2</w:t>
      </w:r>
    </w:p>
    <w:p>
      <w:r>
        <w:t>Eine Verletzung des Kostendeckungsprinzips wird von der Beschwerdeführerin weder ausdrücklich noch sinngemäss geltend gemacht und braucht vorliegend nicht diskutiert zu werden, nachdem sich auch den Akten keine Hinweise auf eine Verletzung desselben entnehmen lassen. Mit ihren Einwänden stellt die Beschwerdeführerin jedoch die Angemessenheit der von ihr geforderten Gebühr und damit die Einhaltung des Äquivalenzprinzips in Frage.</w:t>
      </w:r>
    </w:p>
    <w:p>
      <w:r>
        <w:rPr>
          <w:b/>
        </w:rPr>
        <w:t>E. 4.3.3</w:t>
      </w:r>
    </w:p>
    <w:p>
      <w:r>
        <w:t>Die Vorinstanz begutachtet und akkreditiert Konformitätsbewertungsstellen gestützt auf internationale Normen. Mit der Akkreditierung wird formell die Kompetenz einer Stelle anerkannt, nach vorgegebenen Anforderungen Konformitätsbewertungen durchzuführen (vgl. Art. 3 Bst. o THG). Der Vorinstanz kommt diesbezüglich ein ausgeprägtes Fachwissen zu, das namentlich auch die im Rahmen der Bearbeitung von Akkreditierungsgesuchen durchzuführenden Begutachtungen betrifft (vgl. Art. 9 ff. AkkBV). Das Bundesverwaltungsgericht hat somit zwar die sich stellenden Fragen grundsätzlich frei zu prüfen (vgl. E. 2), sich aber dort eine gewisse Zurückhaltung aufzuerlegen, wo der Vorinstanz zur Beantwortung spezifischer Fachfragen ein erheblicher Handlungsspielraum belassen wird, so namentlich, wenn es um die erforderlichen Begutachtungstätigkeiten geht. Dabei variiert der Grad der Zurückhaltung im Einzelfall je nach der Natur der sich stellenden Fragen und dem erforderlichen Fachwissen. Insofern weicht das Bundesverwaltungsgericht nicht ohne Not von der Beurteilung der Vorinstanz ab, nicht zuletzt, wenn diese im Rahmen ihrer Vernehmlassung in hinreichendem Umfang zu Beschwerderügen Stellung genommen hat und ihre Darlegungen nachvollziehbar und einleuchtend sind (vgl. BVGE 2010/11 E. 4.2, 2008/14 E. 3.1 f., 4.3.2; Urteil des BVGer B-6405/2016 vom 5. Dezember 2017 E. 3.1; Zibung/Hofstetter, in: Waldmann/Weissenberger (Hrsg.), Praxiskommentar VwVG, 2. Aufl. 2016, Art. 49 Rz. 45 ff.).</w:t>
      </w:r>
    </w:p>
    <w:p>
      <w:r>
        <w:rPr>
          <w:b/>
        </w:rPr>
        <w:t>E. 4.3.4</w:t>
      </w:r>
    </w:p>
    <w:p>
      <w:r>
        <w:t>Die Begutachtung des Akkreditierungsgesuchs hat, wie erwähnt, nach den international massgebenden Anforderungen zu erfolgen, insbesondere der SN EN ISO/IEC 17011 (Art. 5 Abs. 2 AkkBV i.V.m. Anhang 1 zur AkkBV). Die internationalen Vorgaben schreiben namentlich eine Vor-Ort-Begutachtung vor. Das Begutachtungsteam hat demnach die Begutachtung der Dienstleistungen der Konformitätsbewertungsstelle zur Konformitätsbewertung einerseits am Standort der Konformitätsbewertungsstelle durchzuführen und andererseits an allfälligen weiteren Standorten, wo die Konformitätsbewertungsstelle tätig ist, Vor-Ort-Beobachtungen durchzuführen, um Nachweise zusammenzutragen, dass die Konformitätsbewertungsstelle die für den zutreffenden Bereich relevanten Normen sowie weitere Anforderungen einhält (Ziff. 7.7.2 SN EN ISO/IEC 17011). Des Weiteren hat das Begutachtungsteam auch die von der Konformitätsbewertungsstelle zur Verfügung gestellten Dokumente und Aufzeichnungen auf Normenkonformität und auf andere Anforderungen an die Akkreditierung prüfen (Ziff. 7.6.1 SN EN ISO/IEC 17011).</w:t>
      </w:r>
    </w:p>
    <w:p>
      <w:r>
        <w:rPr>
          <w:b/>
        </w:rPr>
        <w:t>E. 4.3.5</w:t>
      </w:r>
    </w:p>
    <w:p>
      <w:r>
        <w:t>Die streitgegenständlichen Gebühren des leitenden Begutachters im Gesamtbetrag von Fr. 5'252.90 setzen sich gemäss der Vorinstanz wie folgt zusammen (vgl. Ziff. III.a der angefochtenen Verfügung; Vorinstanz, act. 1; Beschwerdeführerin, act. 2): "Aufwand des leitenden Begutachters [...]; 38h Aufwand à Fr. 220.-/h;Fr. 8'360.00" "Sekretariatsaufwand; 6.5h Aufwand à Fr. 130.-/h;Fr. 845.00" "Reisekosten;Fr. 90.40" "Spesen;Fr. 27.50" "./. Teilzahlung vom 31. Januar 2019Fr. -4'070.00" Eine detaillierte Aufschlüsselung des Aufwands des leitenden Begutachters wurde der Beschwerdeführerin durch die Vorinstanz mit Beilage zum Schreiben vom 23. November 2018 zur Kenntnis gebracht (Vorinstanz, act. 8; Beschwerdeführerin, act. 4).</w:t>
      </w:r>
    </w:p>
    <w:p>
      <w:r>
        <w:rPr>
          <w:b/>
        </w:rPr>
        <w:t>E. 4.3.6</w:t>
      </w:r>
    </w:p>
    <w:p>
      <w:r>
        <w:t>Ein Vergleich dieser Zahlen mit der der Beschwerdeführerin von der Vorinstanz mit Schreiben vom 3. November 2017 neben einem detaillierten Programm zugesandten und von dieser nicht beanstandeten Schätzung (Vorinstanz, act. 16) ergibt für den Aufwand des leitenden Begutachters zwar lediglich eine Abweichung von zwei Stunden. Die Beschwerdeführerin beanstandet jedoch einige Aufwandspositionen des leitenden Begutachters ausdrücklich, so dass es sich trotz der nur geringfügigen Abweichung rechtfertigt, die Nachvollziehbarkeit des für den Aufwand veranschlagten Betrages zu prüfen (vgl. E 4.3.3).</w:t>
      </w:r>
    </w:p>
    <w:p>
      <w:r>
        <w:rPr>
          <w:b/>
        </w:rPr>
        <w:t>E. 4.3.6.1</w:t>
      </w:r>
    </w:p>
    <w:p>
      <w:r>
        <w:t>Die Vorinstanz stützte sich gemäss ihren Angaben zur Berechnung der strittigen Gebühren zum einen auf die GebV-Akk, insbesondere deren Art. 6, der für leitende Begutachterinnen und Begutachter des Akkreditierungsbereichs einen Stundenansatz von Fr. 220.- und für Mitarbeiterinnen und Mitarbeiter des Administrativbereichs einen solchen von Fr. 130.- vorsieht. Als Rechtsgrundlage für die Inrechnungstellung der Auslagen führt sie Art. 3 GebV-Akk, für die Reise- und Transportkosten auch Art. 6 AllgGebV an. Dieses Vorgehen wird von der Beschwerdeführerin zurecht nicht grundsätzlich in Frage gestellt. Streitig ist indessen, inwieweit das SAS-Reglement Nr. 704 "Anleitung für Fachexperten", welches vorsieht, dass Fachexperten gegenüber der Vorinstanz nur die Hälfte der Fahrzeit in Rechnung stellen können, auch für leitende Begutachter anwendbar ist. Wäre von dessen Anwendbarkeit auszugehen, würde sich die von der Vorinstanz mit 10 Stunden (Begutachtungszeit inkl. volle Reisezeit) veranschlagte und entsprechend in Rechnung gestellte Dauer der Vor-Ort-Begutachtung vom 10. Januar 2018, wie von der Beschwerdeführerin geltend gemacht, auf 7 Stunden reduzieren. Die "Anleitung für Fachexperten", SAS-Reglement Nr. 704, ist eine Verwaltungsverordnung. Solche Verordnungen richten sich an Behörden. Sie entfalten grundsätzlich nur im verwaltungshierarchischen Verhältnis zwischen über- und untergeordneter Verwaltungseinheit verpflichtende Wirkung, d.h. es können nicht allein gestützt auf sie Verwaltungsrechtsverhältnisse zum Bürger geregelt werden. Trotz ihrer Unverbindlichkeit für Gerichte werden Verwaltungsverordnungen praxisgemäss berücksichtigt, wenn sie eine dem Einzelfall angepasste und gerecht werdende Auslegung der anwendbaren gesetzlichen Bestimmungen erlauben. Daher weichen Gerichte nicht ohne triftigen Grund von Verwaltungsverordnungen ab, jedenfalls solange nicht, als diese die rechtlichen Vorgaben sachgerecht und überzeugend konkretisieren. Insofern dienen Verwaltungsverordnungen dem Bestreben der Verwaltung, durch interne Weisungen eine rechtsgleiche Gesetzesanwendung zu gewährleisten. Darüber hinaus können Verwaltungsverordnungen freilich auch die Rechtsstellung des Bürgers indirekt mitprägen und Aussenwirkung entfalten (vgl. für viele Urteil des BVGer B-748/2018 vom 1. Mai 2018 E. 3.6 mit Verweis auf BGE 141 III 401 E. 4.2.2). Gemäss Kapitel 1 der "Anleitung für Fachexperten", SAS-Reglement Nr. 704, gelten die darin enthaltenen Regeln sinngemäss auch für leitende Begutachter, allerdings nur dann, wenn diese in einem Begutachtungsverfahren auch als Fachexperten tätig sind. Im vorliegenden Verfahren deutet nichts darauf hin, dass der leitende Begutachter auch als Fachexperte tätig war. Es ist somit nicht zu beanstanden, wenn die Vorinstanz das SAS-Reglement Nr. 704 hier nicht anwendet resp. sich bezüglich der Vergütung der Reisezeit für den leitenden Begutachter allein auf die GebV-Akk und die AllgGebV stützt, die keine entsprechende Reduktion vorsehen. Inwiefern es gesetzes- und verfassungskonform ist, eine solche Reduktion bei den Fachexperten vorzunehmen, ist unter diesen Umständen nicht zu prüfen.</w:t>
      </w:r>
    </w:p>
    <w:p>
      <w:r>
        <w:rPr>
          <w:b/>
        </w:rPr>
        <w:t>E. 4.3.6.2</w:t>
      </w:r>
    </w:p>
    <w:p>
      <w:r>
        <w:t>Die Beschwerdeführerin bestreitet weiter sinngemäss die Notwendigkeit einer E-Mail-Nachricht, in welcher der leitende Begutachter ihr am 9. Oktober 2017 allgemeine Informationen zur Planung der Begutachtung und zu den Witness Audits übermittelte. Die Vorinstanz weist diesbezüglich zu Recht auf die entsprechende Vorgabe in Ziff. 7.7.2 SN EN ISO/IEC 17011 hin, wonach das Begutachtungsteam im Rahmen von Witness Audits am Standort der Konformitätsbewertungsstelle die von der Beschwerdeführerin angebotenen Vor-Ort-Kalibrierungen bei deren Kunden durchführt. Es ist somit nachvollziehbar, dass die Vorinstanz die beanstandete E-Mail mit allgemeinen Informationen als notwendig erachtete.</w:t>
      </w:r>
    </w:p>
    <w:p>
      <w:r>
        <w:rPr>
          <w:b/>
        </w:rPr>
        <w:t>E. 4.3.6.3</w:t>
      </w:r>
    </w:p>
    <w:p>
      <w:r>
        <w:t>Die Beschwerdeführerin bringt vor, eine Aufwandsposition in Höhe von 0.5 Stunden vom 16. und 17. Oktober 2017 betreffe unter anderem einen Fachexperten, bei welchem das angerufene Gericht den Anschein der Befangenheit später als für nicht ausgeschlossen erkannte (vgl. Ziff. C.d; Urteil des BVGer B-1100/2018 vom 13. Juli 2018). Die Vorinstanz führt aus, die Aufwandsposition betreffe vor allem Terminanfragen an die Fachexperten für die inzwischen begutachteten Bereiche und die Weiterleitung der Ergebnisse an die Beschwerdeführerin. Die Beschwerdeführerin widerspricht dieser Darstellung in ihrer Stellungnahme vom 28. April 2019 nicht mehr. Auf diesen Punkt ist daher nicht mehr weiter einzugehen, zumal sich aus den Akten nichts ergibt, das auf etwas anderes schliessen liesse.</w:t>
      </w:r>
    </w:p>
    <w:p>
      <w:r>
        <w:rPr>
          <w:b/>
        </w:rPr>
        <w:t>E. 4.3.6.4</w:t>
      </w:r>
    </w:p>
    <w:p>
      <w:r>
        <w:t>Die als unverhältnismässig gerügten Aufwandspositionen vom 18. Oktober 2017 in Höhe von insgesamt einer Stunde betreffen E-Mails an die Beschwerdeführerin, Korrespondenz zur Terminkoordination mit Fachexperten sowie das schriftliche Aufdatieren derselben mit Informationen. Die Vorinstanz führt diesbezüglich aus, hier sei die Kostenschätzung validiert und eine von der Beschwerdeführerin beantragte Erweiterung des Geltungsbereichs der Akkreditierung besprochen worden. Inwiefern dies nicht zutreffen sollte, ist nicht erkennbar. Die Beschwerdeführerin bestreitet weiter, dass die Kommunikation der Anforderungen an die zur Beurteilung des Reakkreditierungsgesuchs notwendigen Unterlagen an sie am 20. Oktober 2017 wie veranschlagt eine Stunde gedauert haben könne. Die Vorinstanz weist in ihrer Vernehmlassung auf die Rechtsgrundlagen der erläuterten Bedingungen hin (insb. Art. 8 AkkBV und SAS-Dokument Nr. 707; Vorinstanz, act. 15), zudem erläutert sie, dass in der veranschlagten Stunde zusätzliche Korrespondenz mit der Beschwerdeführerin sowie zwei Fachexperten enthalten sei. Auch hier lässt sich in den Akten nichts finden, das gegen die Ausführungen der Vorinstanz sprechen würde. Die Beschwerdeführerin stellt auch den für die Erstellung der Kosten-schätzung am 3. November 2017 veranschlagten Aufwand von anderthalb Stunden in Frage; diesbezüglich weist sie auf die ihrer Ansicht nach mass-gebliche Abweichung zwischen dem tatsächlichen Aufwand und der Kostenschätzung hin. Mit Hinweis auf die noch ausstehende Begutachtung im Messbereich "Kalibrierung von Temperaturanzeigegeräten" legt die Vorinstanz dar, dass die Kostenschätzung in diesem Bereich den ungefähren tatsächlichen Kosten entspricht und die totalen Kosten für alle Fachexperten mit der Kostenschätzung annähernd übereinstimmen. Die Ausführungen der Vorinstanz sind auch zu diesem Punkt nachvollziehbar. Dass der leitende Gutachter, wie von der Beschwerdeführerin geltend gemacht, bei der Erstellung der Kostenschätzung mangelnde Sorgfalt walten liess, ist nicht ersichtlich.</w:t>
      </w:r>
    </w:p>
    <w:p>
      <w:r>
        <w:rPr>
          <w:b/>
        </w:rPr>
        <w:t>E. 4.3.6.5</w:t>
      </w:r>
    </w:p>
    <w:p>
      <w:r>
        <w:t>Die Beschwerdeführerin bringt ferner vor, die für weiteren E-Mail-Verkehr veranschlagten Aufwände seien unverhältnismässig, ohne substantiiert darzulegen, welche Positionen weshalb kritisiert werden. Die Vorinstanz führt dazu (wiederum mit Berufung auf die Vorgabe in Ziff. 7.7.2 SN EN ISO/IEC 17011) zu Recht aus, es sei die Pflicht der begutachteten Konformitätsbewertungsstelle, das Qualitätsmanagement-Handbuch und die wesentlichen zugehörigen Dokumente in der jeweils aktuellen Version der Vorinstanz zuzustellen. Das Vorbringen der Beschwerdeführerin, die besagte Dokumente hätten sich seit der letzten Begutachtung nicht geändert, vermag daran nichts zu ändern.</w:t>
      </w:r>
    </w:p>
    <w:p>
      <w:r>
        <w:rPr>
          <w:b/>
        </w:rPr>
        <w:t>E. 4.3.6.6</w:t>
      </w:r>
    </w:p>
    <w:p>
      <w:r>
        <w:t>Die Beschwerdeführerin rügt auch die Aufwandspositionen von insgesamt 7.5 Stunden im Zusammenhang mit der Bereinigung des Verzeichnisses der akkreditierten Geltungsbereiche als unangemessen. Ein wesentlicher Teil davon entfällt auf die Korrespondenz mit der Beschwerdeführerin (vgl. Beschwerdeführerin, act. 10). Diese bringt vor, der Aufwand sei aufgrund eines Fehlers der SAS entstanden. Ausserdem habe die SAS anlässlich einer früheren Akkreditierung die Geltungsbereiche der Messverfahren bereits überprüft. Die Vorinstanz äussert dazu, die Beschwerdeführerin habe im von ihr erstellten Verzeichnis einige Messgrössen und -verfahren erfasst, welche anhand der Vorgaben der SAS nicht publiziert werden konnten. Dies erscheint angesichts der im Recht liegenden Korrespondenz nachvollziehbar (vgl. Beschwerdeführerin, act. 10).</w:t>
      </w:r>
    </w:p>
    <w:p>
      <w:r>
        <w:rPr>
          <w:b/>
        </w:rPr>
        <w:t>E. 4.3.6.7</w:t>
      </w:r>
    </w:p>
    <w:p>
      <w:r>
        <w:t>Auch aus dem Hinweis auf vorhergehende Akkreditierungsverfahren kann die Beschwerdeführerin für die Beurteilung der streitgegenständlichen Rechnung nichts zu ihren Gunsten ableiten. Ebensowenig ist ersichtlich, inwiefern durch den gestützt auf Art. 8 GebV-Akk erhobenen Jahresbeitrag Aufwände im Rahmen der Reakkreditierung abgegolten sein sollten.</w:t>
      </w:r>
    </w:p>
    <w:p>
      <w:r>
        <w:rPr>
          <w:b/>
        </w:rPr>
        <w:t>E. 4.3.6.8</w:t>
      </w:r>
    </w:p>
    <w:p>
      <w:r>
        <w:t>Nicht zielführend ist schliesslich auch der von der Beschwerdeführerin gezogene Vergleich mit dem angeblich niedrigeren Begutachtungsaufwand der britischen Akkreditierungsstelle UKAS. Die Vorinstanz hat sich an die hier geltenden Vorgaben zu halten. Sie legt zudem zutreffend dar, dass nicht der Vergleich mit Erfahrungswerten anderer Konformitätsbewertungsstellen, sondern der jeweilige effektive Prüfungsaufwand für die Berechnung der Gebühr massgebend ist.</w:t>
      </w:r>
    </w:p>
    <w:p>
      <w:r>
        <w:rPr>
          <w:b/>
        </w:rPr>
        <w:t>E. 4.4</w:t>
      </w:r>
    </w:p>
    <w:p>
      <w:r>
        <w:t>Insgesamt vermag die Beschwerdeführerin nicht überzeugend darzulegen und es ist auch nicht aus den Akten ersichtlich, welche Begutachtungshandlungen des leitenden Gutachters aus welchen Gründen nicht notwendig und daher verzichtbar oder aber unverhältnismässig gewesen wären. Es besteht somit kein Anlass, an der Angemessenheit der Höhe der in der angefochtenen Verfügung festgehaltenen Begutachtungsstunden zu zweifeln - dies umso mehr, als das Bundesverwaltungsgericht grundsätzlich Zurückhaltung übt und nicht leichthin in Ermessensentscheide der Vorinstanz eingreift (vgl. E. 4.3.3), wenn sich, wie hier, die Vorinstanz durch besonderen Sachverstand auszeichnet und über einen gewissen Handlungsspielraum verfügt.</w:t>
      </w:r>
    </w:p>
    <w:p>
      <w:r>
        <w:rPr>
          <w:b/>
        </w:rPr>
        <w:t>E. 5</w:t>
      </w:r>
    </w:p>
    <w:p>
      <w:r>
        <w:t>Im Lichte dieser Erwägungen lässt sich die strittige Gebühr von insgesamt Fr. 5'252.90 (Fr. 9'322.90 ./. Teilzahlung vom 31. Januar 2019 von Fr. 4'070.00) nicht beanstanden. Die angefochtene Verfügung verletzt somit kein Bundesrecht; die Beschwerde ist daher, soweit auf sie einzutreten ist, als unbegründet abzuweisen.</w:t>
      </w:r>
    </w:p>
    <w:p>
      <w:r>
        <w:rPr>
          <w:b/>
        </w:rPr>
        <w:t>E. 6</w:t>
      </w:r>
    </w:p>
    <w:p>
      <w:r>
        <w:t>Bei diesem Ausgang des Verfahrens unterliegt die Beschwerdeführerin, weshalb ihr die Verfahrenskosten aufzuerlegen sind (Art. 63 Abs. 1 VwVG). Diese werden auf Fr. 800.- festgesetzt (vgl. Art. 4 des Reglements vom 21. Februar 2008 über die Kosten und Entschädigungen vor dem Bundesverwaltungsgericht [VGKE, SR 173.320.2]) und mit dem einbezahlten Kostenvorschuss verrechnet.</w:t>
      </w:r>
    </w:p>
    <w:p>
      <w:r>
        <w:rPr>
          <w:b/>
        </w:rPr>
        <w:t>E. 7</w:t>
      </w:r>
    </w:p>
    <w:p>
      <w:r>
        <w:t>Eine Parteientschädigung wird nicht zugesprochen (Art. 64 Abs.1 VwVG i.V.m. Art. 7 Abs.1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