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A-98/2011 vom 27. September 2011</w:t>
      </w:r>
    </w:p>
    <w:p>
      <w:r>
        <w:t>Bundesverwaltungsgericht, 2011-09-27, DE</w:t>
      </w:r>
    </w:p>
    <w:p>
      <w:r>
        <w:rPr>
          <w:b/>
        </w:rPr>
        <w:t xml:space="preserve">Quelle: </w:t>
      </w:r>
      <w:r>
        <w:t>https://mcp.opencaselaw.ch/entscheid/bvger_A-98_2011</w:t>
      </w:r>
    </w:p>
    <w:p>
      <w:r>
        <w:t>FR: TAF A-98/2011 du 27 septembre 2011</w:t>
      </w:r>
    </w:p>
    <w:p>
      <w:r>
        <w:t>IT: TAF A-98/2011 del 27 settembre 2011</w:t>
      </w:r>
    </w:p>
    <w:p>
      <w:pPr>
        <w:pStyle w:val="Heading2"/>
      </w:pPr>
      <w:r>
        <w:t>Regeste</w:t>
      </w:r>
    </w:p>
    <w:p>
      <w:r>
        <w:t>Konzession und Netzzugang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Das BAV gehört zu den Behörden nach Art. 33 VGG und ist daher eine Vorinstanz des Bundesverwaltungsgerichts. Eine Ausnahme, was das Sachgebiet angeht, ist nicht gegeben (Art. 32 VGG). Das Bundesverwaltungsgericht ist deshalb zur Beurteilung der vorliegenden Beschwerde zuständig.</w:t>
      </w:r>
    </w:p>
    <w:p>
      <w:r>
        <w:rPr>
          <w:b/>
        </w:rPr>
        <w:t>E. 2.1</w:t>
      </w:r>
    </w:p>
    <w:p>
      <w:r>
        <w:t>Das Bundesverwaltungsgericht wendet bei der Prüfung der Beschwerdevoraussetzungen, namentlich der Beschwerdelegitimation, das Recht von Amtes wegen an und ist dabei nicht an die Vorbringen der Parteien gebunden (Art. 62 Abs. 4 VwVG). Die Beschwerdelegitimation im Verfahren vor dem Bundesverwaltungsgericht bestimmt sich nach Art. 48 Abs. 1 VwVG. Danach ist zur Beschwerde berechtigt, wer vor der Vorinstanz am Verfahren teilgenommen hat oder keine Möglichkeit zur Teilnahme erhalten hat (Bst. a), durch die angefochtene Verfügung besonders berührt ist (Bst. b) und ein schutzwürdiges Interesse an deren Anfechtung oder Änderung hat (Bst. c).</w:t>
      </w:r>
    </w:p>
    <w:p>
      <w:r>
        <w:rPr>
          <w:b/>
        </w:rPr>
        <w:t>E. 2.2</w:t>
      </w:r>
    </w:p>
    <w:p>
      <w:r>
        <w:t>Die Beschwerdelegitimation des Beschwerdeführers wird von der Vorinstanz vorab in Frage gestellt. Im Wesentlichen wird angeführt, die X_______strasse, auf der die hier strittige Buslinie 444 verkehre, verlaufe in rund 200 Meter Luftlinie Entfernung von der Liegenschaft des Beschwerdeführers. Es sei dementsprechend nicht nachvollziehbar, inwieweit der Beschwerdeführer durch die Linienführung einen unmittelbaren Nachteil erleide.</w:t>
      </w:r>
    </w:p>
    <w:p>
      <w:r>
        <w:rPr>
          <w:b/>
        </w:rPr>
        <w:t>E. 2.3</w:t>
      </w:r>
    </w:p>
    <w:p>
      <w:r>
        <w:t>Der Beschwerdeführer hält dem entgegen, aufgrund der räumlichen Beziehung eine besondere Nähe zum Streitgegenstand zu haben. Von den vom Busverkehr herrührenden Mehrimmissionen sei er als Anwohner der X_______strasse unmittelbar betroffen. Zudem habe er sich bereits im damaligen Plangenehmigungsverfahren betreffend "N20/N4: Folgemassnahmen im Kanton Aargau, Region Mutschellen" gegen den Ausbau der X_______strasse gewehrt. Seine gegen die Plangenehmigung vom 2. Februar 2004 erhobene Beschwerde bei der Rekurskommission des Eidgenössischen Departements für Umwelt, Verkehr, Energie und Kommunikation (REKO UVEK) habe er nur gestützt auf eine Vereinbarung, welche er mit dem Staat Aargau am 25. Mai/4. Juni 2004 abgeschlossen habe, zurückgezogen. In dieser Vereinbarung habe sich der Staat Aargau ihm gegenüber verpflichtet, unter anderem keine Projektänderung zu beantragen, die die Öffnung der X_______strasse für den Lastwagenverkehr zum Gegenstand habe oder den Beschwerdeführer belasten könnte. Die Parteistellung im seinerzeitigen Plangenehmigungsverfahren und in der Vereinbarung mit dem Staat Aargau verschaffe ihm somit ein besonderes rechtlich geschütztes Interesse. Ferner könne ihm nicht angelastet werden, dass er am vorinstanzlichen Verfahren nicht teilgenommen habe, denn aufgrund der fehlenden amtlichen Publikation habe er erst durch die Presse Kenntnis erlangt vom hängigen Konzessionsverlängerungsgesuch betreffend Linie 444. Seine daraufhin unverzüglich eingereichte Eingabe sei vom Departement Bau, Verkehr und Umwelt des Kantons Aargau nur mit deutlicher Verspätung an das zuständige BAV weitergeleitet worden. Es wäre stossend, wenn ihm nun das Verschulden des kantonalen Amtes zum Nachteil gereichen würde.</w:t>
      </w:r>
    </w:p>
    <w:p>
      <w:r>
        <w:rPr>
          <w:b/>
        </w:rPr>
        <w:t>E. 2.4</w:t>
      </w:r>
    </w:p>
    <w:p>
      <w:r>
        <w:t>Die vom Beschwerdeführer aufgeworfene Frage der detaillierten Linienführung ist betrieblicher Natur. In BGE 129 II 331 (E. 2.1. und 2.2.) hat das Bundesgericht für den Bereich der Flughafenkonzessionen entschieden, dass eine Betroffenheit von betrieblichen Auswirkungen eines Werkes nicht im Konzessionserteilungsverfahren geltend zu machen ist, sondern im Verfahren zur Genehmigung des Betriebsreglements des Flughafens (vgl. auch BGE 127 II 306 E. 7b). Gemäss dem Bundesgesetz vom 20. März 2009 über die Personenbeförderung (Personenbeförderungsgesetz, PBG [SR 745.1]) existiert im Fall der Konzessionierung und des Betriebs von Buslinien im Gegensatz zum Flughafenbereich kein zweigeteiltes Verfahren, wonach die Aspekte der Konzessionierung gesondert von jenen des Betriebs festzulegen und in allenfalls daran anschliessenden unterschiedlichen Rechtsmittelverfahren zu behandeln wären. Die vorliegend angefochtene Konzessionsverfügung verleiht der Beschwerdegegnerin infolgedessen nicht nur das Recht zum Betrieb von Buslinien und verpflichtet sie zur Führung eines ordnungsgemässen Betriebs, sondern legt im Einzelnen auch verschiedene betriebliche Aspekte wie insbesondere die konkrete Linienführung und die Haltestellen der konzessionierten Buslinien fest. Wer sich somit durch den Betrieb der Buslinien betroffen fühlt, hat einzig im Rahmen des Konzessionserteilungs- bzw. -änderungsverfahrens die Möglichkeit zur Einbringung seiner Rechtsschutzinteressen. Die Parteieigenschaft des Beschwerdeführers sowie seine Legitimation zur hier zu behandelnden Beschwerde können aus diesem Grund nicht zum Vornherein ausgeschlossen werden (vgl. Urteil des Bundesverwaltungsgerichts A-3199/2006 vom 7. März 2007 E. 3.1).</w:t>
      </w:r>
    </w:p>
    <w:p>
      <w:r>
        <w:rPr>
          <w:b/>
        </w:rPr>
        <w:t>E. 2.5</w:t>
      </w:r>
    </w:p>
    <w:p>
      <w:r>
        <w:t>Vorliegend hat der Beschwerdeführer am vorinstanzlichen Verfahren nicht teilgenommen. Mit Eingabe vom 25. Oktober 2010 hat er zwar sinngemäss ein Gesuch um Verfahrensbeteiligung im Konzessionsverfahren Nr. 450 an das Departement Bau, Verkehr und Umwelt des Kantons Aargau gestellt, doch dessen Eingabe wurde erst knapp einen Monat nach Eingang und damit verspätet an das hierfür zuständige BAV weitergeleitet. Das Bundesgericht statuiert indes einen allgemeinen prozessualen Grundsatz, wonach der Rechtsuchende im Fall einer fristgemässen Eingabe bei einer unzuständigen Behörde nicht ohne Not um die Beurteilung seines Begehrens durch die zuständige Instanz gebracht werden soll. Daher hat die unzuständige Behörde, vorbehältlich rechtsmissbräuchlicher Fehladressierungen, die Pflicht, die Eingabe unverzüglich an die zuständige Instanz weiterzuleiten. Dieser Grundsatz wirkt sich zugunsten des Rechtsuchenden aus und bezieht sich auf die gesamte Rechtsordnung; er gilt jedenfalls dort, wo keine klare, anderslautende Gesetzgebung besteht, auch in den Kantonen (Urteil des Bundesgerichts 1P_143/2004 vom 17. August 2004 E. 3.3.3; BGE 121 I 93 E. 1d, BGE 118 Ia 241 E. 3c). Im Lichte dieser Rechtsprechung darf der Umstand, dass der Beschwerdeführer sich irrtümlicherweise an das unzuständige Amt gewandt hat, nicht zum Rechtsverlust führen. Seine Nichtteilnahme am vorinstanzlichen Verfahren hat daher als unverschuldet zu gelten im Sinne des zweiten Teilsatzes von Art. 48 Abs. 1 Bst. a VwVG.</w:t>
      </w:r>
    </w:p>
    <w:p>
      <w:r>
        <w:rPr>
          <w:b/>
        </w:rPr>
        <w:t>E. 2.6</w:t>
      </w:r>
    </w:p>
    <w:p>
      <w:r>
        <w:t>Die angefochtene Konzessionserneuerung und -änderung regelt direkt nur die Rechte und Pflichten der heutigen Beschwerdegegnerin als Konzessionärin, nicht aber diejenigen des Beschwerdeführers. Fechtet nicht der primäre Verfügungsadressat, sondern eine Drittperson die Verfügung an, verlangt die bundesgerichtliche Rechtsprechung, dass der Beschwerdeführer durch den angefochtenen Entscheid stärker als jedermann betroffen ist und in einer besonderen, beachtenswerten und nahen Beziehung zur Streitsache steht. Das Interesse an der Aufhebung oder Änderung der Verfügung kann rechtlicher oder tatsächlicher Natur sein, doch muss es sich um eigene persönliche Interessen des Beschwerdeführers handeln; auf öffentliche Interessen allein oder die Interessen Dritter kann er sich nicht berufen. Das Interesse des Beschwerdeführers ist schutzwürdig, wenn seine tatsächliche oder rechtliche Situation durch den Ausgang des Verfahrens unmittelbar beeinflusst werden, das heisst wenn er durch das Beschwerdeverfahren einen materiellen oder ideellen Nachteil von sich abwenden oder aus diesem einen praktischen Nutzen ziehen kann. Diese Anforderungen sollen die im schweizerischen Recht grundsätzlich nicht vorgesehene Popularbeschwerde ausschliessen (vgl. zum Ganzen BGE 131 II 587 E. 2 f., BGE 131 II 649 E. 3.1, BGE 130 V 560 E. 3.3, BGE 125 I 7 E. 3c, BGE 123 II 376 E. 2, BGE 121 II 176 E. 2a). Bei Bauprojek­ten muss nach der Rechtsprechung des Bundesgerichts die Nähe der Beziehung zum Streitgegenstand insbesondere in räumlicher Hinsicht gegeben sein (BGE 133 II 353 E. 3; Urteile des Bundesverwaltungsgerichts A-3014/2010 vom 31. Januar 2011 E. 3.2 und A-5466/2008 vom 3. Juni 2009 E. 1.2). Weiter ist eine besondere Betroffenheit zu bejahen, wenn vom Betrieb der projektierten Anlage mit Sicherheit oder grosser Wahrscheinlichkeit Immissionen - seien es Lärm , Staub , Erschütterungs , Licht- oder andere Einwirkungen - ausgehen, die auf dem Grundstück des Beschwerdeführers aufgrund ihrer Art und Intensität deutlich wahrnehmbar sind. Dabei ist die Beschwerdebefugnis dann weit zu ziehen, wenn die Auswirkungen eines Werkes ohne technisch aufwendige und kostspielige Abklärungen festgestellt und von den allgemeinen Immissionen, wie sie z.B. der Strassenverkehr mit sich bringt, geschieden werden können (BGE 113 Ib 225 E. 1c, BGE 112 Ib 154 E. 3). So hat das Bundesgericht die Überlegungen der kantonalen Vorinstanz geschützt, wonach für die Beschwerdelegitimation auf die zu erwartenden Immissionen auf den betroffenen Grundstücken abzustellen ist. Es wurde davon ausgegangen, dass eine Steigerung des durchschnittlichen täglichen Verkehrsaufkommens um 25 % zu einer Erhöhung des Verkehrslärmpegels um 1 dB (A) führt und eine solche gerade noch wahrgenommen wird. Deshalb hat das Bundesgericht die Grenze zur Bejahung der Legitimation bei einer Verkehrszunahme von 10 % als angemessen erachtet (vgl. die Urteile des Bundesgerichts 1A.148/2005 vom 20. Dezember 2005 E. 3.5 f. und 1A.123/2003 vom 7. Juni 2004 E. 3.5.3). Eine besondere Betroffenheit ist ferner dann zu bejahen, wenn ein spezieller Gefahrenherd mit erhöhtem Risiko für die Anwohner geschaffen wird und der Beschwerdeführende auf Grund der räumlichen Nähe speziell stark exponiert ist (BGE 120 Ib 379 E. 4c f., BGE 120 Ib 431 E. 1, Urteile des Bundesgerichts 1E.10/2006 vom 6. Juli 2006 E. 1.4 und 1A.148/2005 vom 20. Dezember 2005 E. 3.3 sowie im Weiteren BGE 113 Ib 225 E. 1c, BGE 112 Ib 154 E. 3; BVGE 2007/1 E. 3.5, Urteile des Bundesverwaltungsgerichts A-7365/2009 vom 9. November 2010 E. 2.2 und A 2016/2006 vom 2. Juli 2008 E. 2.2; vgl. auch Alfred Kölz/Isabelle Häner, Verwaltungsverfahren und Verwaltungsrechtspflege des Bundes, 2. Aufl., Zürich 1998, S. 196 ff.; Ulrich Häfelin/Georg Müller/Felix Uhlmann, Allgemeines Verwaltungsrecht, 6. Aufl., Zürich/St. Gallen 2010, Rz. 1943 ff.). Bereits in BVGE 2007/1 hat das Bundesverwaltungsgericht entschieden, dass diese eben ausgeführte Rechtsprechung auf die Beschwerdelegitimation von Anwohnern im Rahmen des Konzessionsverfahrens nach PBG grundsätzlich übertragen werden kann. Im Konzessionsverfahren gemäss PBG liegen jedoch anders als in den von der bundesgerichtlichen Rechtsprechung behandelten Fällen von Bauprojekten keine projektbezogenen Verkehrszahlen (beispielsweise aus einem Umweltverträglichkeitsbericht) vor, womit sich normalerweise konkrete Aussagen zur zu erwartenden Verkehrs- bzw. Immissionszunahme machen lassen. Es muss daher für die hier vorzunehmende Prüfung darauf abgestützt werden, was der Beschwerdeführer bezüglich seiner neuen Belastung konkret vorbringt, wie sich die Beschwerdegegnerin sowie die Vorinstanz dazu äussern und ob allfällige weitere Quellen konkretere Hinweise auf neue Immissionen für den Beschwerdeführer ergeben.</w:t>
      </w:r>
    </w:p>
    <w:p>
      <w:r>
        <w:rPr>
          <w:b/>
        </w:rPr>
        <w:t>E. 2.7</w:t>
      </w:r>
    </w:p>
    <w:p>
      <w:r>
        <w:t>Der Beschwerdeführer ist Eigentümer der Liegenschaft (...). Die Vorinstanz hat eine Distanz von ca. 200 Meter Luftlinie vom Grundstück des Beschwerdeführers zur hier relevanten X_______strasse ermittelt. Bei der Beurteilung der Beschwerdebefugnis gilt es folglich zu beachten, dass die Liegenschaft des Beschwerdeführers nicht in einer unmittelbaren nachbarlichen Nähe zur Strasse steht. Damit erscheint bereits die für die Beschwerdelegitimation erforderliche enge räumliche Beziehung fraglich. Zumindest müssten aber angesichts der grossen Entfernung die Mehrimmissionen, verursacht durch den Linienverkehr, besonders stark ausgeprägt sein, um als solches überhaupt auf dem Grundstück des Beschwerdeführers deutlich wahrnehmbar zu sein.</w:t>
      </w:r>
    </w:p>
    <w:p>
      <w:r>
        <w:rPr>
          <w:b/>
        </w:rPr>
        <w:t>E. 2.8</w:t>
      </w:r>
    </w:p>
    <w:p>
      <w:r>
        <w:t>Der Beschwerdeführer macht geltend, infolge des Busverkehrs erheblichen Mehrimmissionen ausgesetzt zu sein, vermag aber nicht deren Umfang näher zu substanziieren. Aus den Akten geht hervor, dass die X_______strasse derzeit ausschliesslich von einer Buslinie, nämlich der Linie 444, befahren wird, welche im Stundentakt sowie zu den Hauptverkehrszeiten im Halbstundentakt verkehrt. Das ergibt auf den Tag gerechnet insgesamt 44 Fahrten, wobei pro Stunde maximal vier Fahrten zu verzeichnen sind. Bei einem derart verdünnten Fahrplan kann vorweg nur von leichten Mehrimmissionen gesprochen werden. Laut den Ausführungen des Beschwerdeführers ist die X_______strasse als Durchgangsstrasse zur Entlastung anderer Verkehrsachsen konzipiert. Es liegt daher auf der Hand, dass diese Strasse auch ohne Busverkehr ein doch erhebliches Verkehrsaufkommen aufweist. Weiter ist im Hinblick auf die konkrete Lärmbelastung zu berücksichtigen, dass auf der hier fraglichen Strecke moderne Linienbusse zum Einsatz kommen, die sich erfahrungsgemäss bezüglich Lärmimmissionen nur geringfügig vom allgemeinen PKW-Verkehr abheben. Der Busverkehr ist deshalb angesichts des allgemeinen Verkehrsaufkommens auf der X_______strasse kaum als eigenständige Belastung feststellbar. Ohnehin werden auch Einzelereignisse, die subjektiv als störend empfunden werden, mit zunehmender Entfernung von der Lärmquelle nicht mehr differenziert wahrgenommen, sondern die Auswirkungen des allgemeinen Verkehrs schieben sich immer mehr in den Vordergrund. Es ist daher nicht zu verkennen, dass die beanstandeten Auswirkungen dort, wo der Beschwerdeführer wohnt, weitgehend mit den allgemeinen Strassenimmissionen vermischt sein werden, soweit sie als solche überhaupt deutlich wahrzunehmen sind. Somit ist für die Beurteilung der Legitimation des Beschwerdeführers davon auszugehen, dass der Busbetrieb zu wenig stark ins Gewicht fällt, als dass dieser im Sinne der Rechtsprechung einer Verkehrs- und damit eine Lärm- und Schadstoffzunahme von mindestens 10 % gleichkommen könnte. Bei dieser Sachlage ist nicht ersichtlich, inwiefern der Beschwerdeführer durch die als gering einzustufenden Immissionen des Linienverkehrs mehr als jedermann betroffen sein sollte.</w:t>
      </w:r>
    </w:p>
    <w:p>
      <w:r>
        <w:rPr>
          <w:b/>
        </w:rPr>
        <w:t>E. 2.9</w:t>
      </w:r>
    </w:p>
    <w:p>
      <w:r>
        <w:t>Soweit der Beschwerdeführer die Beschwerdelegitimation mit seiner Parteistellung im damaligen Plangenehmigungsverfahren betreffend "N20/N4: Folgemassnahmen im Kanton Aargau, Region Mutschellen" begründet, verkennt er, dass der Verfahrensgegenstand der hier zu prüfenden Konzessionsverfügung ein anderer ist. Die Parteistellung in jenem früheren Verfahren kann sich daher schon aus diesem Grund nicht präjudiziell zu Gunsten des Beschwerdeführers auswirken.</w:t>
      </w:r>
    </w:p>
    <w:p>
      <w:r>
        <w:rPr>
          <w:b/>
        </w:rPr>
        <w:t>E. 2.10</w:t>
      </w:r>
    </w:p>
    <w:p>
      <w:r>
        <w:t>Schliesslich erblickt der Beschwerdeführer in der von der Vorinstanz genehmigten Linienführung der Buslinie 444 einen Verstoss gegen das für die X_______strasse erlassene Lastwagenfahrverbot. Gleichzeitig werden vom Beschwerdeführer Sicherheitsbedenken bezüglich der Streckenführung geäussert. Solche Beweggründe für eine Beschwerde sind zwar zweifellos achtenswert, jedoch liegen sie nicht im eigenen, persönlichen Interesse des Beschwerdeführers. Dieser wird durch den angeblichen Verkehrsregelverstoss bzw. die gefährliche Verkehrssituation nicht mehr berührt als jeder andere Benützer der X_______strasse. Wie bereits ausgeführt, kann auch durch den Umstand, dass der Beschwerdeführer in einer gewissen räumlichen Nähe zur Strasse wohnt, kein Anspruch auf Parteistellung hergeleitet werden. Mit den Einwendungen bezüglich Verkehrsvorschriften bzw. -sicherheit werden allein öffentliche Interessen verfochten, die mit einer Beschwerde von einem Privaten nicht geltend gemacht werden können. Solche ideell motivierte Vorbringen können gemäss der erwähnten bundesgerichtlichen Rechtsprechung nicht als ausreichendes Rechtsschutzinteresse im Sinne von Art. 48 Abs. 1 Bst. c. VwVG anerkannt werden. In einer solchen Konstellation ist es in erster Linie Aufgabe der zuständigen Behörden, für einen gesetzeskonformen Vollzug der bestehenden Strassenverkehrsbestimmungen bzw. für eine genügende Sicherheit des öffentlichen Linienverkehrs zu sorgen. Auch diesbezüglich fehlt es somit an der erforderlichen Betroffenheit und nahen Beziehung zur Streitsache.</w:t>
      </w:r>
    </w:p>
    <w:p>
      <w:r>
        <w:rPr>
          <w:b/>
        </w:rPr>
        <w:t>E. 2.11</w:t>
      </w:r>
    </w:p>
    <w:p>
      <w:r>
        <w:t>Unter diesen Umständen kann der Beschwerdeführer nicht zur Beschwerde zugelassen werden. Auf die eingereichte Beschwerde ist somit mangels Legitimation des Beschwerdeführers nicht einzutreten.</w:t>
      </w:r>
    </w:p>
    <w:p>
      <w:r>
        <w:rPr>
          <w:b/>
        </w:rPr>
        <w:t>E. 3.1</w:t>
      </w:r>
    </w:p>
    <w:p>
      <w:r>
        <w:t>Bei diesem Verfahrensausgang gilt der Beschwerdeführer als unterliegende Partei und hat daher die Verfahrenskosten zu tragen (Art. 63 Abs. 1 VwVG). Die Verfahrenskosten werden auf Fr. 1'000.- festgesetzt und sind mit dem bereits geleisteten Kostenvorschuss von Fr. 4'000.- zu verrechnen. Der Restbetrag von Fr. 3'000.- ist ihm nach Eintritt der Rechtskraft des vorliegenden Urteils zurückzuerstatten</w:t>
      </w:r>
    </w:p>
    <w:p>
      <w:r>
        <w:rPr>
          <w:b/>
        </w:rPr>
        <w:t>E. 3.2</w:t>
      </w:r>
    </w:p>
    <w:p>
      <w:r>
        <w:t>Da die Beschwerdegegnerin keinen Antrag auf Parteientschädigung gestellt hat, nicht anwaltlich vertreten ist und der Aufwand für die Beteiligung am Schriftenwechsel als gering einzustufen ist, ist ihr keine Parteientschädigung zuzusprechen (Art. 64 VwVG i.V.m. Art. 8 und 13 des Reglements vom 11. Dezember 2006 über die Kosten und Entschädigungen vor dem Bundesverwaltungsgericht [VGKE, SR 173.320.2]). Die Vorinstanz hat gemäss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