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A-975/2023 vom 9. Oktober 2024</w:t>
      </w:r>
    </w:p>
    <w:p>
      <w:r>
        <w:t>Bundesverwaltungsgericht, 2024-10-09, DE</w:t>
      </w:r>
    </w:p>
    <w:p>
      <w:r>
        <w:rPr>
          <w:b/>
        </w:rPr>
        <w:t xml:space="preserve">Quelle: </w:t>
      </w:r>
      <w:r>
        <w:t>https://mcp.opencaselaw.ch/entscheid/bvger_A-975_2023</w:t>
      </w:r>
    </w:p>
    <w:p>
      <w:r>
        <w:t>FR: TAF A-975/2023 du 9 octobre 2024</w:t>
      </w:r>
    </w:p>
    <w:p>
      <w:r>
        <w:t>IT: TAF A-975/2023 del 9 ottobre 2024</w:t>
      </w:r>
    </w:p>
    <w:p>
      <w:pPr>
        <w:pStyle w:val="Heading2"/>
      </w:pPr>
      <w:r>
        <w:t>Regeste</w:t>
      </w:r>
    </w:p>
    <w:p>
      <w:r>
        <w:t>Enteignung</w:t>
      </w:r>
    </w:p>
    <w:p>
      <w:pPr>
        <w:pStyle w:val="Heading2"/>
      </w:pPr>
      <w:r>
        <w:t>Erwägungen</w:t>
      </w:r>
    </w:p>
    <w:p>
      <w:r>
        <w:rPr>
          <w:b/>
        </w:rPr>
        <w:t>E. 1.1</w:t>
      </w:r>
    </w:p>
    <w:p>
      <w:r>
        <w:t>Die angefochtene Gebührenverfügung ist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Beschwerdeführerin hat am vorinstanzlichen Verfahren teilgenommen, ist als Adressatin der Gebührenverfügung durch diese besonders berührt und hat ein schutzwürdiges Interesse an deren Aufhebung oder Änderung. Sie ist damit zur Beschwerde legitimiert (Art. 48 Abs. 1 VwVG).</w:t>
      </w:r>
    </w:p>
    <w:p>
      <w:r>
        <w:rPr>
          <w:b/>
        </w:rPr>
        <w:t>E. 1.3</w:t>
      </w:r>
    </w:p>
    <w:p>
      <w:r>
        <w:t>Zu prüfen ist, ob der von der Beschwerdeführerin in den Schlussbemerkungen vom 27. Juni 2023 ergänzte Antrag (vgl. Sachverhalt H hiervor) vom Streitgegenstand erfasst ist.</w:t>
      </w:r>
    </w:p>
    <w:p>
      <w:r>
        <w:rPr>
          <w:b/>
        </w:rPr>
        <w:t>E. 1.3.1</w:t>
      </w:r>
    </w:p>
    <w:p>
      <w:r>
        <w:t>Nach Art. 52 Abs. 1 VwVG muss die Beschwerde die Begehren enthalten. Das Rechtsbegehren legt den Streitgegenstand des Beschwerdeverfahrens fest. Dieser bestimmt sich nach dem in der vorinstanzlichen Verfügung geregelten Rechtsverhältnis, soweit diese angefochten wird. Der Streitgegenstand kann sich im Laufe des Beschwerdeverfahrens verengen, darf jedoch grundsätzlich nicht erweitert oder qualitativ verändert werden (statt vieler BGE 144 II 359 E. 4.3, 136 II 457 E. 4.2; Urteil des BVGer A-199/2018 vom 18. April 2019 E. 1.3).</w:t>
      </w:r>
    </w:p>
    <w:p>
      <w:r>
        <w:rPr>
          <w:b/>
        </w:rPr>
        <w:t>E. 1.3.2</w:t>
      </w:r>
    </w:p>
    <w:p>
      <w:r>
        <w:t>Sämtliche Begehren und Eventualbegehren sind in der Beschwerdeschrift vorzubringen (BVGE 2013/56 E. 1.5, 2012/7 E. 2.4.2). Erst in der Replik oder später gestellte neue Begehren sind daher unzulässig und es ist darauf nicht einzutreten (BVGE 2011/54 E. 2.1.1, 2010/53 E. 15.1, je mit Hinweisen; statt vieler Urteil des BVGer A-1970/2021 vom 26. Oktober 2022 E. 1.3.1). Nach Ablauf der Beschwerdefrist können Beschwerdeanträge höchstens präzisiert, eingeengt oder fallengelassen, nicht aber erweitert werden (BVGE 2011/54 E. 2.1.1; Urteil des BVGer A-1985/2006 vom 14. Februar 2008 E. 4 mit Verweis auf BGE 133 II 30 E. 2).</w:t>
      </w:r>
    </w:p>
    <w:p>
      <w:r>
        <w:rPr>
          <w:b/>
        </w:rPr>
        <w:t>E. 1.3.3</w:t>
      </w:r>
    </w:p>
    <w:p>
      <w:r>
        <w:t>Die begehrte Reduktion der Gebührenverfügung auf maximal 25% des bisherigen Betrags (Ziff. 1 des ergänzten Rechtsbegehrens) führt zu keiner Erweiterung der in der Beschwerdeschrift gestellten Hauptanträge auf Aufhebung der Gebührenverfügung und Reduktion der Kosten des erstinstanzlichen Verfahrens auf einen noch zu bestimmenden Betrag. Vielmehr werden die Hauptanträge - entgegen der Auffassung der Vorinstanz - in zulässiger Weise präzisiert beziehungsweise eingeengt, zumal die genauen Stundenaufwendungen des Vizepräsidenten der Beschwerdeführerin auch im Rahmen des vorliegenden Beschwerdeverfahrens nicht ausgewiesen wurden. Nach dem Gesagten ist auf den von der Beschwerdeführerin in den Schlussbemerkungen präzisierten Antrag einzutreten.</w:t>
      </w:r>
    </w:p>
    <w:p>
      <w:r>
        <w:rPr>
          <w:b/>
        </w:rPr>
        <w:t>E. 1.4</w:t>
      </w:r>
    </w:p>
    <w:p>
      <w:r>
        <w:t>Im Übrigen sind die Beschwerdefrist (Art. 50 Abs. 1 VwVG) sowie die Anforderungen an die Form und den Inhalt der Beschwerde (Art. 52 Abs. 1 VwVG) gewahrt, weshalb auf die Beschwerde einzutreten ist.</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 Gebührenverfügung unzureichend begründet. Die blosse Angabe von zusammenfassenden Zeiterfassungen zu einzelnen Tätigkeitskategorien erlaube ihr weder die Angemessenheit der auferlegten Verfahrenskosten noch die Übereinstimmung der in Rechnung gestellten Gebühr mit dem Äquivalenzprinzip zu beurteilen. Dies falle umso mehr ins Gewicht, als der Aufwand des Vizepräsidenten für das vorinstanzliche Verfahren (11 Stunden und 30 Minuten) das Mass des üblicherweise erwartbaren und vertretbaren Aufwands übersteige. Der Aufwand stehe in einem offensichtlichen Missverhältnis zum Wert der Leistung. Zur Begründung führt sie insbesondere aus, mit der Ausarbeitung der unpräjudiziellen Einschätzung vom 28. November 2022 und die Ausführung rein administrativer Abklärungen habe der Vizepräsident einen überhöhten, wenig sachgerechten Aufwand betrieben. Ebenso seien aufgrund der mangelhaften Organisation der Vorinstanz bei der Kommunikation mit der Enteigneten beziehungsweise mit den Behörden mehrfache und unnötige Aufwände entstanden. Schliesslich habe es sich um einen in rechtlicher und tatsächlicher Hinsicht sehr einfachen Fall gehandelt, bei dem die aus der zeitnahen Bearbeitung anderer gleichartiger Entschädigungsgesuche, die gleichzeitig bei der Vorinstanz hängig waren, resultierenden Skaleneffekte hätten berücksichtigt werden müssen, was zu einer merklichen Reduktion des Gesamtaufwands geführt hätte.</w:t>
      </w:r>
    </w:p>
    <w:p>
      <w:r>
        <w:rPr>
          <w:b/>
        </w:rPr>
        <w:t>E. 3.2</w:t>
      </w:r>
    </w:p>
    <w:p>
      <w:r>
        <w:t>Dagegen wendet die Vorinstanz ein, sie habe ihre Kostenverfügung hinreichend begründet, indem sie darin zusammenfassende Zeitangaben zu Tätigkeitskategorien gemacht habe. Sie sei nicht verpflichtet, eine genaue Aufschlüsselung der spezifischen Stundenaufwendungen nach Tätigkeit und Datum zu liefern. Zudem diene das Äquivalenzprinzip nicht dazu, eine Gebühr zu kürzen, weil einzelne Tätigkeiten aus retrospektiver Sicht des Gebührenpflichtigen einen zu grossen Aufwand bewirkt hätten, nicht notwendig oder nicht zweckmässig gewesen seien. Dies gelte umso mehr, als die Abgabe der unpräjudiziellen Einschätzung die Erledigung des Verfahrens vorangetrieben und der Enteigneten erlaubt habe, ihren Standpunkt mit dem einstweiligen Standpunkt der Vorinstanz abzugleichen und über den Rückzug ihres Entschädigungsgesuchs zu entscheiden. Dieses Vorgehen habe daher auch einen Mehrwert für die Beschwerdeführerin geschaffen, indem keine Einigungsverhandlung durchgeführt werden musste und so der damit verbundene erhebliche Aufwand vermieden werden konnte, was im finanziellen Interesse der Beschwerdeführerin liege.</w:t>
      </w:r>
    </w:p>
    <w:p>
      <w:r>
        <w:rPr>
          <w:b/>
        </w:rPr>
        <w:t>E. 3.3</w:t>
      </w:r>
    </w:p>
    <w:p>
      <w:r>
        <w:t>Zur Frage, welchen grundsätzlichen Anforderungen ein Kostenentscheid der Eidgenössischen Schätzungskommission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3.4</w:t>
      </w:r>
    </w:p>
    <w:p>
      <w:r>
        <w:t>Der Vorwurf der Beschwerdeführerin, der Aufwand für die Erledigung des betreffenden Entschädigungsgesuchs mittels Abschreibungsverfügung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3.3 hiervor). Wenn allerdings - wie hier - der in Rechnung gestellte Gesamtaufwand für die Erledigung eines Entschädigungsgesuchs mittels Abschreibungsverfügung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einzelne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3.5</w:t>
      </w:r>
    </w:p>
    <w:p>
      <w:r>
        <w:t>Nach dem Ausgeführten ist eine Überprüfung, ob der in Rechnung gestellte Gesamtstundenaufwand für die Erledigung des vorinstanzlichen Verfahrens vor dem Äquivalenzprinzip standhält, nicht möglich. In Gutheissung der Beschwerde ist die angefochtene Gebührenverfügung aufzuheben und die Angelegenheit zur neuen Entscheidung an die Vorinstanz zurückzuweisen.</w:t>
      </w:r>
    </w:p>
    <w:p>
      <w:r>
        <w:rPr>
          <w:b/>
        </w:rPr>
        <w:t>E. 4</w:t>
      </w:r>
    </w:p>
    <w:p>
      <w:r>
        <w:t>Abschliessend ist über die Kosten- und Entschädigungsfolgen des Beschwerdeverfahrens zu befinden.</w:t>
      </w:r>
    </w:p>
    <w:p>
      <w:r>
        <w:rPr>
          <w:b/>
        </w:rPr>
        <w:t>E. 4.1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BGer 1C_440/2012 vom 27. August 2013 E. 5; Urteil BVGer A-514/2013 vom 15. Dezember 2014 E. 12.1; Urteil BVGer A-504/2018 vom 28. Dezember 2018 E. 10.3).</w:t>
      </w:r>
    </w:p>
    <w:p>
      <w:r>
        <w:rPr>
          <w:b/>
        </w:rPr>
        <w:t>E. 4.2</w:t>
      </w:r>
    </w:p>
    <w:p>
      <w:r>
        <w:t>Das Bundesverwaltungsgericht hat im Urteil A-504/2018 vom 28. Dezember 2018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4.3</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4.1)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4.4</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Die Beschwerde führt zur Aufhebung der angefochtenen Gebührenverfügung und Rückweisung der Sache an die Vorinstanz zu neuer Entscheidung. Damit gilt die Beschwerdeführerin als obsiegend. Ihr sind daher in Anwendung von Art. 63 Abs. 1 VwVG keine Verfahrenskosten aufzuerlegen. Der geleistete Kostenvorschuss von Fr. 1'400.-- ist ihr nach Eintritt der Rechtskraft des vorliegenden Urteils zurückzuerstatten. Die Vorinstanz hat als Bundesbehörde keine Verfahrenskosten zu tragen (Art. 63 Abs. 2 VwVG).</w:t>
      </w:r>
    </w:p>
    <w:p>
      <w:r>
        <w:rPr>
          <w:b/>
        </w:rPr>
        <w:t>E. 4.5</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w:t>
      </w:r>
    </w:p>
    <w:p>
      <w:r>
        <w:rPr>
          <w:b/>
        </w:rPr>
        <w:t>E. 4.6</w:t>
      </w:r>
    </w:p>
    <w:p>
      <w:r>
        <w:t>Auch nicht vertretenen Parteien kann praxisgemäss unter bestimmten Voraussetzungen - im Sinne einer Umtriebsentschädigung - eine Parteientschädigung für den zur Wahrung der eigenen Interessen betriebenen Aufwand zugesprochen werden (vgl. eingehend Urteil des BVGer A-2153/2022 vom 17. Juli 2023 E. 3 mit Hinweisen auf die Rechtsprechung). Vorliegend sind der Beschwerdegegnerin, die nicht Adressatin der Gebührenverfügung ist, weder Vertretungskosten angefallen noch ist ein Arbeitsaufwand entstanden, weshalb ihr keine Entschädigung zuzusprechen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