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A-975/2021 vom 4. März 2022</w:t>
      </w:r>
    </w:p>
    <w:p>
      <w:r>
        <w:t>Bundesverwaltungsgericht, 2022-03-04, FR</w:t>
      </w:r>
    </w:p>
    <w:p>
      <w:r>
        <w:rPr>
          <w:b/>
        </w:rPr>
        <w:t xml:space="preserve">Quelle: </w:t>
      </w:r>
      <w:r>
        <w:t>https://mcp.opencaselaw.ch/entscheid/bvger_A-975_2021</w:t>
      </w:r>
    </w:p>
    <w:p>
      <w:r>
        <w:t>FR: TAF A-975/2021 du 4 mars 2022</w:t>
      </w:r>
    </w:p>
    <w:p>
      <w:r>
        <w:t>IT: TAF A-975/2021 del 4 marzo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2018 et (...) 2020, les deux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dispose du statut de personne concernée au sens de l'art. 3 let. a LAAF, de sorte que la qualité pour recourir au sens des art. 19 al. 2 LAAF et 48 PA lui est reconnue. S'agissant du recourant 2, l'AFC l'a informé des procédures en cours au sens de l'art. 14 al. 2 LAAF et lui a notifié la décision finale du 2 février 2021 en qualité de personne habilitée à recourir (cf. Faits, D. supra). Dans ces circonstances, il y a lieu de considérer que celui-ci dispose d'un intérêt digne de protection à attaquer la décision litigieuse. Partant, le recourant 2 dispose également de la qualité pour recourir (art. 48 PA et art. 19 al. 2 LAAF).</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 recours.</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 Prozessieren vor dem Bundesverwaltungsgericht, 2e éd., 2013, n°2.149 ;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allèguent en substance que le recourant 1 ne dispose que d'une procuration sur la relation bancaire n°(...), dont le recourant 2 est le détenteur et bénéficiaire effectif. Or, puisque le recourant 1 n'en aurait jamais fait usage, les recourants reprochent à l'AFC de ne pas avoir requis la preuve de la non-utilisation de la procuration directement auprès de la banque. Les recourants se plaignent en outre que dans la mesure où aucun élément ne prouverait que le recourant 1 est assimilable à l'ayant droit économique de la relation bancaire n°(...), la transmission des informations y relatives ne remplirait pas la condition de la pertinence vraisemblable. Finalement, les recourants reprochent à l'AFC de ne pas avoir caviardé les données de tiers non impliqués figurant dans les informations dont la transmission est prévue.</w:t>
      </w:r>
    </w:p>
    <w:p>
      <w:r>
        <w:rPr>
          <w:b/>
        </w:rPr>
        <w:t>E. 2.4</w:t>
      </w:r>
    </w:p>
    <w:p>
      <w:r>
        <w:t>Le Tribunal examinera d'abord la question du droit applicable ratione temporis aux demandes d'assistance administrative et la forme de celles-ci (consid. 3 infra). Il passera ensuite à l'examen du grief relatif à la violation du principe de la pertinence vraisemblable (consid. 4 infra) et du grief relatif au caviardage des données de tiers non impliqués (consid. 5 infra).</w:t>
      </w:r>
    </w:p>
    <w:p>
      <w:r>
        <w:rPr>
          <w:b/>
        </w:rPr>
        <w:t>E. 3.1.1</w:t>
      </w:r>
    </w:p>
    <w:p>
      <w:r>
        <w:t>L'assistance administrative avec la France est régie par l'art. 28 CDI CH-FR, largement calqué sur le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2017, différentes versions de ce document sont disponibles sur le site internet : www.oecd.org &gt; thèmes &gt; fiscalité &gt; conventions fiscales ; ATF 142 II 69 consid. 2), et par le ch. XI du Protocole additionnel de cette même convention (ci-après : le Protocole additionnel ; publié également au RS 0.672.934.91). Ces dispositions, résultant de l'Avenant du 27 août 2009, s'appliquent aux présentes demandes (art. 11 par. 3 de l'Avenant ; arrêts du TAF A-5070/2020 du 18 octobre 2021 consid. 3.1 ; A-6266/2017 du 24 août 2018 consid. 2.1.1).</w:t>
      </w:r>
    </w:p>
    <w:p>
      <w:r>
        <w:rPr>
          <w:b/>
        </w:rPr>
        <w:t>E. 3.1.2</w:t>
      </w:r>
    </w:p>
    <w:p>
      <w:r>
        <w:t>L'art. 28 CDI CH-FR, dans sa nouvelle teneur, est ainsi applicable aux demandes d'échange de renseignements concernant toute année civile ou tout exercice commençant à compter du (...) 2010 (art. 11 par. 3 de l'Avenant ; arrêts du TAF A-6266/2017 du 24 août 2018 consid. 2.1.1 ; A-4353/2016 du 27 février 2017 consid. 1.1.1). La jurisprudence admet à ce titre que l'état de fortune d'un compte au dernier jour d'une année fiscale doit être traité de la même manière que le premier jour de l'année fiscale qui suit directement (cf. arrêt du TF 2C_1087/2016 du 31 mars 2017 consid. 3.4 [en lien avec la CDI CH-FR] ; cf. arrêt du TAF A-6266/2017 du 24 août 2018 consid. 2.1.1).</w:t>
      </w:r>
    </w:p>
    <w:p>
      <w:r>
        <w:rPr>
          <w:b/>
        </w:rPr>
        <w:t>E. 3.1.3</w:t>
      </w:r>
    </w:p>
    <w:p>
      <w:r>
        <w:t>Le ch. XI du Protocole additionnel a été modifié le 25 juin 2014 par l'Accord modifiant le Protocole additionnel, entré en vigueur le 30 mars 2016 (RO 2016 1195, FF 2011 3519 ; arrêt du TAF A-2321/2017 du 20 décembre 2017 consid. 3.1). Ces modifications concernent uniquement les cas dans lesquels les noms des personnes impliquées ne sont pas connues de l'Etat requérant (arrêt du TAF A-5066/2016 du 17 mai 2018 consid. 4.1). La question de savoir si cet Accord s'applique ici peut toutefois demeurer ouverte, puisque les modifications apportées à l'Accord concernent des points qui n'ont pas de lien avec les aspects litigieux du cas d'espèce, ni d'incidence sur le sort du recours (cf. arrêt du TF 2C_893/2015 du 16 février 2017 consid. 4 [non publié in : ATF 143 II 202] ; pour ces développements, cf. ég. arrêt du TAF A-6266/2017 du 24 août 2018 consid. 2.1.2).</w:t>
      </w:r>
    </w:p>
    <w:p>
      <w:r>
        <w:rPr>
          <w:b/>
        </w:rPr>
        <w:t>E. 3.2</w:t>
      </w:r>
    </w:p>
    <w:p>
      <w:r>
        <w:t>En l'espèce, dans la mesure où les demandes d'assistance administrative portent sur des renseignements concernant les années fiscales contenues entre 2010 et 2019, l'ensemble des dispositions susmentionnées sont applicables.</w:t>
      </w:r>
    </w:p>
    <w:p>
      <w:r>
        <w:rPr>
          <w:b/>
        </w:rPr>
        <w:t>E. 3.3.1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3.3.2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144 II 206 consid. 4.3 ; 142 II 161 consid. 2.1.4 ; arrêt du TF 2C_88/2018 du 7 décembre 2018 consid. 6.2).</w:t>
      </w:r>
    </w:p>
    <w:p>
      <w:r>
        <w:rPr>
          <w:b/>
        </w:rPr>
        <w:t>E. 3.3.3</w:t>
      </w:r>
    </w:p>
    <w:p>
      <w:r>
        <w:t>Il sied d'analyser chacune des deux demandes déposées par l'autorité fiscale française de manière séparée. En l'occurrence, la requête d'entraide du (...) 2018 doit être qualifiée de demande collective (« Listenersuchen » ; cf. ATF 146 II 150 consid. 4.4 ; 143 II 628 consid. 4.4. et 5.1 ; arrêts du TF 2C_695/2017 du 29 octobre 2018 consid. 4.4 et 2C_893/2015 du 16 février 2017 consid. 12.1). En effet, la demande vise un certain nombre de contribuables. Toutefois, toutes les personnes concernées ont été identifiées sur la liste annexée à la requête intitulé « DEMANDE GENERALE », qui contient notamment leurs noms et prénoms, adresses, date de naissance et les numéros des comptes bancaires concernés. Dans ces circonstances, la demande d'assistance administrative doit être traitée comme une demande individuelle. L'autorité fiscale française a, outre l'identité du recourant 1, formellement transmis la période visée, décrit les informations recherchées, nommé la détentrice des renseignements et désigné l'objet fiscal visé, de manière à ce que les exigences de forme du ch. XI par. 3 du Protocole additionnel soient remplies. Pour ce qui est de la forme de la demande de l'autorité fiscale française du (...) 2020, il faut également considérer qu'elle est conforme aux exigences légales, dans la mesure où elle mentionne le nom de la personne concernée, l'objectif fiscal fondant la demande, la période visée et qu'elle contient une description des renseignements demandés.</w:t>
      </w:r>
    </w:p>
    <w:p>
      <w:r>
        <w:rPr>
          <w:b/>
        </w:rPr>
        <w:t>E. 4.1</w:t>
      </w:r>
    </w:p>
    <w:p>
      <w:r>
        <w:t>Aux termes de l'art. 28 par. 1 CDI CH-FR,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4.4</w:t>
      </w:r>
    </w:p>
    <w:p>
      <w:r>
        <w:t>En l'espèce, les recourants exposent que la transmission des renseignements ne satisfait pas l'exigence de la pertinence vraisemblable dans la mesure où le recourant 1 ne possède qu'une procuration sur le compte (...). Ils allèguent à ce propos que l'intéressé n'aurait jamais fait usage de cette procuration, ce qui exclurait dès lors toutes conséquences fiscales en France. Par ailleurs, les recourants avancent que les avoirs qui sont déposés sur la relation bancaire susmentionnée n'appartiennent pas au recourant 1 mais au recourant 2. Finalement, les recourants reprochent à l'AFC de ne pas avoir entrepris les démarches nécessaires tendant à prouver une utilisation effective par le recourant 1 de la procuration qu'il détient sur la relation bancaire (...). Selon les recourants, la preuve du « non-usage » de la procuration ne pourrait pas être mise à leur charge, dans la mesure où cela reviendrait à exiger de leurs parts la preuve d'un fait négatif. Dans ces conditions, le dossier constitué par l'AFC serait imprécis et incomplet. A ce titre, les recourants requièrent la production des preuves matérielles nécessaire à la constatation du « non-usage » de la procuration.</w:t>
      </w:r>
    </w:p>
    <w:p>
      <w:r>
        <w:rPr>
          <w:b/>
        </w:rPr>
        <w:t>E. 4.5</w:t>
      </w:r>
    </w:p>
    <w:p>
      <w:r>
        <w:t>Le pouvoir de disposer d'un compte bancaire peut prendre plusieurs formes outre la titularité directe. Il peut aussi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(cf. Emch/Renz/Arpagaus [éd.], Das schweizerische Bankgeschäft, 7e éd. 2011, p. 283 N 816, 820; Endrit Poda, Les effets en droit privé de l'obligation d'identifier l'ayant droit économique, 2019, p. 84 s.). Recourir à un tiers pour faire écran entre des avoirs et un contribuable est un montage classique pour soustraire des flux imposables aux yeux des administrations fiscales (cf. ATF 147 II 116 consid. 5.4.2).</w:t>
      </w:r>
    </w:p>
    <w:p>
      <w:r>
        <w:rPr>
          <w:b/>
        </w:rPr>
        <w:t>E. 4.6</w:t>
      </w:r>
    </w:p>
    <w:p>
      <w:r>
        <w:t>Le Tribunal de céans rappelle ici que la Haute Cour a déjà eu l'occasion de juger que les informations relatives à des comptes bancaires sur lesquels les contribuables visés par la demande ne disposent que d'une procuration, sans même être ayant droit économique ou titulaire, remplissent en principe la condition de la pertinence vraisemblable au sens de l'art. 28 par. 1 CDI CH-FR, dès lors que l'autorité requérante demande ces informations (arrêts du TF 2C_527/2015 du 3 juin 2016 consid. 5.2 et 2C_963/2014 du 24 septembre 2015 consid. 6.2 [non publié dans ATF 141 II 436 mais in RDAF 2016 II 374]). En l'occurrence, les autorités françaises ont expressément requis que leur soit transmis « les références des autres comptes bancaires dont le contribuable serait directement ou indirectement titulaire, quelles que soient les structures interposées, ou ayant-droit économique [...] ainsi que ceux pour lesquels il disposerait d'une procuration » (cf. demande du (...) 2018 (...) ; demande du (...) 2020 (...)). Le Tribunal de céans relève qu'il est sans importance de savoir si la procuration a effectivement été utilisée par le recourant 1 ou non. En requérant également des renseignements sur des comptes sur lesquels le recourant 1 n'a qu'un pouvoir de disposition indirecte, l'autorité fiscale française cherche précisément à vérifier que celui-ci n'a pas utilisé une telle structure pour dissimuler des revenus. Or, le fait que ce dernier n'aurait pas utilisé la procuration ne signifie pas que les avoirs n'étaient pas à sa disposition. Il n'est donc pas pertinent d'examiner si le recourant 1 a ou non fait usage des prérogatives qui lui ont été données, dès lors que le seul pouvoir de procuration est suffisant en l'occurrence pour admettre la réalisation de la condition de la vraisemblable pertinence. Au vu de la jurisprudence et du libellé sans équivoque des demandes, la pertinence vraisemblable des informations relatives à la relation bancaire (...) ne peut être remise en question.</w:t>
      </w:r>
    </w:p>
    <w:p>
      <w:r>
        <w:rPr>
          <w:b/>
        </w:rPr>
        <w:t>E. 4.7</w:t>
      </w:r>
    </w:p>
    <w:p>
      <w:r>
        <w:t>Au vu de ce qui précède, le grief des recourants est rejeté.</w:t>
      </w:r>
    </w:p>
    <w:p>
      <w:r>
        <w:rPr>
          <w:b/>
        </w:rPr>
        <w:t>E. 5.1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arrêts du TAF A-6266/2017 du 24 août 2018 consid. 2.3.3 ; A-4545/2016 du 8 février 2018 consid. 4.3.1 ; A-4025/2016 du 2 mai 2017 consid. 3.4). La transmission d'informations est ainsi en principe également possible à condition de répondre à l'exigence de la pertinence vraisemblable (cf. ATF 144 II 29 consid. 4.2.3 ; 142 II 161 consid. 4.6.1 ; pour des développements, cf. arrêt du TAFA-4819/2016 du 4 avril 2018 consid. 3).</w:t>
      </w:r>
    </w:p>
    <w:p>
      <w:r>
        <w:rPr>
          <w:b/>
        </w:rPr>
        <w:t>E. 5.2</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(cf. ATF 144 II 29 consid. 4.2.3 avec les références citées ; cf. également ATF 146 I 172 consid. 7.1.3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par le principe de spécialité ; à la clôture de la procédure, l'autorité requise doit en effet rappeler à l'autorité requérante les restrictions à l'utilisation des renseignements transmis et l'obligation de maintenir le secret (cf. art. 20 al. 2 LAAF ; cf. ATF 146 I 172 consid. 7.1.3 ; 142 II 161 consid. 4.6.1).</w:t>
      </w:r>
    </w:p>
    <w:p>
      <w:r>
        <w:rPr>
          <w:b/>
        </w:rPr>
        <w:t>E. 5.3</w:t>
      </w:r>
    </w:p>
    <w:p>
      <w:r>
        <w:t>En l'espèce, les recourants soutiennent que, dans l'hypothèse où les renseignements litigieux seraient transmis, les informations concernant les personnes non impliquées par la demande et qui figurent dans les documents que l'AFC prévoit de transmettre devraient être préalablement caviardées.</w:t>
      </w:r>
    </w:p>
    <w:p>
      <w:r>
        <w:rPr>
          <w:b/>
        </w:rPr>
        <w:t>E. 5.4</w:t>
      </w:r>
    </w:p>
    <w:p>
      <w:r>
        <w:t>Selon la jurisprudence du Tribunal fédéral, encore récemment précisée (cf. ATF 147 II 116 consid. 6.2), l'art. 19 al. 2 LAAF prévoit qu'ont qualité pour recourir la personne concernée ainsi que les autres personnes qui remplissent les conditions prévues à l'art. 48 PA. La qualité pour recourir est partant exclue si le recourant fait valoir non pas un intérêt qui lui est propre, mais l'intérêt de tiers (cf. ATF 143 II 506 consid. 5.1 ; 132 II 162 consid. 2.1.2). Il s'ensuit que les recourants ne sont pas légitimés à formuler des conclusions pour faire valoir des intérêts de tiers. Le grief correspondant est donc irrecevable.</w:t>
      </w:r>
    </w:p>
    <w:p>
      <w:r>
        <w:rPr>
          <w:b/>
        </w:rPr>
        <w:t>E. 5.5</w:t>
      </w:r>
    </w:p>
    <w:p>
      <w:r>
        <w:t>Il est au surplus souligné que le Tribunal fédéral a récemment jugé que l'AFC n'était pas tenue d'inclure dans la procédure les tiers dont le nom apparaît dans la documentation destinée à être transmise dans le cadre de l'exécution d'une demande d'assistance administrative internationale en matière fiscale, sauf si leur qualité de partie ressort de manière évidente du dossier, ce qui n'est en principe pas le cas (ATF 146 I 172 consid. 7 ; arrêts du TF 2C_687/2019 consid. 6 ; 2C_287/2019 consid. 4.1, tous du 13 juillet 2020). Ainsi, le seul fait que le nom de tiers apparait dans la documentation destinée à être transmise ne suffit pas à lui seul à justifier que ces derniers soient informés. Dans tous les cas, le tiers dont le nom apparaît est protégés par le principe de spécialité (cf. consid. 5.2 supra). Les informations ne peuvent être utilisées par l'Etat requérant que dans la procédure relative à la personne désignée comme concernée par la demande, pour les faits décrits dans celle-ci, et doivent en principe être tenues secrètes (cf. arrêts du TAF A-1315/2019 du 17 septembre 2019 consid. 3.3 ; A-5047/2018 du 22 mai 2019 consid. 4 et 5).</w:t>
      </w:r>
    </w:p>
    <w:p>
      <w:r>
        <w:rPr>
          <w:b/>
        </w:rPr>
        <w:t>E. 6</w:t>
      </w:r>
    </w:p>
    <w:p>
      <w:r>
        <w:t>Pour le surplus, rien ne laisse penser - et les recourants ne le prétendent pas - que les autres conditions matérielles de l'assistance administrative ne sont pas respectées. Compte tenu des considérants qui précèdent, le Tribunal constate que la décision litigieuse satisfait aux exigences de l'assistance administrative en matière fiscale. Le recours s'avère dès lors mal fondé et doit par conséquent être rejeté.</w:t>
      </w:r>
    </w:p>
    <w:p>
      <w:r>
        <w:rPr>
          <w:b/>
        </w:rPr>
        <w:t>E. 7</w:t>
      </w:r>
    </w:p>
    <w:p>
      <w:r>
        <w:t>Enfin, il sied de relever une erreur de plume dans le dispositif de la décision finale du 2 février 2021 de l'autorité inférieure qu'il convient de corriger. En effet, en réponse à la question c) de l'autorité requérante (cf. dispositif, ch. 2, p. 17, 1er paragraphe), l'autorité inférieure a indiqué : « Veuillez trouver, en annexe 3, les états de fortune aux (...) des années 2011 à 2017 pour la relation bancaire (...). ». Or, il ressort du dossier que l'état de fortune au (...) 2010 de la relation bancaire (...) fait également partie des informations à transmettre à l'autorité requérante (cf. décision de l'AFC du 2 février 2021 consid. 2.9). Ainsi, le ch. 2 du dispositif doit être corrigé et avoir la teneur suivante : « Veuillez trouver, en annexe 3, les états de fortune aux (...) des années 2010 à 2017 pour la relation bancaire (...) ».</w:t>
      </w:r>
    </w:p>
    <w:p>
      <w:r>
        <w:rPr>
          <w:b/>
        </w:rPr>
        <w:t>E. 8</w:t>
      </w:r>
    </w:p>
    <w:p>
      <w:r>
        <w:t>Les recourants qui succombent doivent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9</w:t>
      </w:r>
    </w:p>
    <w:p>
      <w:r>
        <w:t>Vu l'issue de la cause, il n'est pas alloué de dépens (art. 64 al. 1 PA a contrario et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