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A-974/2023 vom 9. Oktober 2024</w:t>
      </w:r>
    </w:p>
    <w:p>
      <w:r>
        <w:t>Bundesverwaltungsgericht, 2024-10-09, DE</w:t>
      </w:r>
    </w:p>
    <w:p>
      <w:r>
        <w:rPr>
          <w:b/>
        </w:rPr>
        <w:t xml:space="preserve">Quelle: </w:t>
      </w:r>
      <w:r>
        <w:t>https://mcp.opencaselaw.ch/entscheid/bvger_A-974_2023</w:t>
      </w:r>
    </w:p>
    <w:p>
      <w:r>
        <w:t>FR: TAF A-974/2023 du 9 octobre 2024</w:t>
      </w:r>
    </w:p>
    <w:p>
      <w:r>
        <w:t>IT: TAF A-974/2023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27. Juni 2023 ergänzten Anträge (vgl. zum Ganzen Sachverhalt J. hiervor) vom Streitgegenstand erfasst sind.</w:t>
      </w:r>
    </w:p>
    <w:p>
      <w:r>
        <w:rPr>
          <w:b/>
        </w:rPr>
        <w:t>E. 1.3.1</w:t>
      </w:r>
    </w:p>
    <w:p>
      <w:r>
        <w:t>Nach Art. 52 Abs. 1 VwVG muss die Beschwerde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teilweise auf die Staatskasse zu nehmen seien (vgl. Ziff. 2), ist Folgendes festzuhalten: Der Beschwerde lässt sich nicht entnehmen, dass die Beschwerdeführerin die Frage der Kostentragung gemäss Ziff. 2 der - hier nicht angefochtenen - Abschreibungsverfügung vom 23. Dezember 2022 bestritten oder dieses Rechtsverhältnis angefochten hat. Strittig ist vielmehr die Höhe der in Rechnung gestellten Verfahrenskosten. Der in den Schlussbemerkungen formulierte Antrag auf eine abweichende Regelung der Kostentragung geht daher über den mit Beschwerde festgelegten Streitgegenstand hinaus. Damit gilt er als neu und ist grundsätzlich unzulässig. Darauf ist nicht einzutreten. Im Übrigen hätte keine Verletzung von Bundesrecht vorgelegen, selbst wenn auf das ergänzte Rechtsbegehren ausnahmsweise einzutreten gewesen wäre. Mit Schreiben vom 17. Mai 2022 hat der Vizepräsident der Beschwerdegegnerin eine einstweilige und unpräjudizielle Einschätzung der Rechtslage in Form einer Stellungnahme zukommen lassen. Dadurch konnten die Beschwerdegegner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und nicht von der Staatskasse zu übernehmen. Gleiche Überlegungen gelten im Hinblick auf die Zustellung der einschlägigen Rechtsprechung an die Beschwerdegegner. Das Vorgehen der Vorinstanz lag auch im Interesse der Beschwerdeführerin. Wie von der Vorinstanz zutreffend ausgeführt,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 Aus diesen Gründen ist nicht zu beanstanden, dass die Vorinstanz in Ziff. 2 der Abschreibungsverfügung der Beschwerdeführerin als Enteignerin sämtliche Kosten des vorinstanzlichen Verfahrens auferlegt hat.</w:t>
      </w:r>
    </w:p>
    <w:p>
      <w:r>
        <w:rPr>
          <w:b/>
        </w:rPr>
        <w:t>E. 1.4</w:t>
      </w:r>
    </w:p>
    <w:p>
      <w:r>
        <w:t>Im Übrigen sind die Beschwerdefrist (Art. 50 Abs. 1 VwVG) sowie die Anforderungen an die Form und den Inhalt der Beschwerde (Art. 52 Abs. 1 VwVG) gewahrt. Auf die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(11 Stunden) das Mass des üblicherweise erwartbaren und vertretbaren Aufwands übersteige. Der Aufwand stehe in einem offensichtlichen Missverhältnis zum Wert der Leistung. Zur Begründung führt sie insbesondere aus, mit der Ausarbeitung der unpräjudiziellen Einschätzung vom 17. Mai 2022 und der Zusammenfassung der einschlägigen Rechtsprechung für die Enteignete habe der Vizepräsident einen überhöhten Aufwand betrieben. Es sei nicht Aufgabe der Vorinstanz als Gericht, den Enteigneten weiterführende Rechtserläuterungen zu erteilen beziehungsweise für diese die relevanten Gerichtsurteile zusammenzutragen. Überdies habe es sich um einen in rechtlicher und tatsächlicher Hinsicht sehr einfachen Fall gehandelt, bei dem die aus der zeitnahen Bearbeitung anderer gleichartiger Entschädigungsgesuche, die gleichzeitig bei der Vorinstanz hängig waren, resultierenden Skaleneffekte hätten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der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w:t>
      </w:r>
    </w:p>
    <w:p>
      <w:r>
        <w:rPr>
          <w:b/>
        </w:rPr>
        <w:t>E. 3.3</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3.4</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3.5</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1'400.--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w:t>
      </w:r>
    </w:p>
    <w:p>
      <w:r>
        <w:rPr>
          <w:b/>
        </w:rPr>
        <w:t>E. 4.6</w:t>
      </w:r>
    </w:p>
    <w:p>
      <w:r>
        <w:t>Auch nicht vertretenen Parteien kann praxisgemäss unter bestimmten Voraussetzungen - im Sinne einer Umtriebsentschädigung - eine Parteientschädigung für den zur Wahrung der eigenen Interessen betriebenen Aufwand zugesprochen werden (vgl. eingehend Urteil des BVGer A-2153/2022 vom 17. Juli 2023 E. 3 mit Hinweisen auf die Rechtsprechung). Vorliegend sind die Beschwerdegegner weder Vertretungskosten angefallen noch ist ein Arbeitsaufwand entstanden, weshalb ihnen keine Parteientschädigung zuzusprechen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