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A-947/2022 vom 31. Januar 2023</w:t>
      </w:r>
    </w:p>
    <w:p>
      <w:r>
        <w:t>Bundesverwaltungsgericht, 2023-01-31, IT</w:t>
      </w:r>
    </w:p>
    <w:p>
      <w:r>
        <w:rPr>
          <w:b/>
        </w:rPr>
        <w:t xml:space="preserve">Quelle: </w:t>
      </w:r>
      <w:r>
        <w:t>https://mcp.opencaselaw.ch/entscheid/bvger_A-947_2022</w:t>
      </w:r>
    </w:p>
    <w:p>
      <w:r>
        <w:t>FR: TAF A-947/2022 du 31 janvier 2023</w:t>
      </w:r>
    </w:p>
    <w:p>
      <w:r>
        <w:t>IT: TAF A-947/2022 del 31 gennaio 2023</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del 24 febbraio 2022 è stato interposto tempestivamente (cfr. art. 20 segg., art. 50 PA), nel rispetto delle esigenze di contenuto e di forma previste dalla legge (cfr. art. 52 PA). L'atto impugnato è una decisione dell'AFC fondata sul diritto pubblico federale giusta l'art. 5 PA, che condanna la ricorrente al pagamento di crediti d'imposta preventiva. Poiché la decisione impugnata comporta un onere pecuniario per la ricorrente, quest'ultima risulta legittimata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Prima di entrare nel merito del ricorso, lo scrivente Tribunale considera necessario esaminare l'eventuale prescrizione del credito d'imposta qui in oggetto. Infatti, un'eventuale prescrizione dello stesso comporterebbe la perenzione della pretesa dell'autorità inferiore.</w:t>
      </w:r>
    </w:p>
    <w:p>
      <w:r>
        <w:rPr>
          <w:b/>
        </w:rPr>
        <w:t>E. 3.1</w:t>
      </w:r>
    </w:p>
    <w:p>
      <w:r>
        <w:t>Ciò detto, prima di esaminare la prescrizione del credito in oggetto, qui di seguito verranno esposte le norme pertinenti relative alla prescrizione in materia d'imposta preventiva.</w:t>
      </w:r>
    </w:p>
    <w:p>
      <w:r>
        <w:rPr>
          <w:b/>
        </w:rPr>
        <w:t>E. 3.2.1</w:t>
      </w:r>
    </w:p>
    <w:p>
      <w:r>
        <w:t>La prescrizione è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w:t>
      </w:r>
    </w:p>
    <w:p>
      <w:r>
        <w:rPr>
          <w:b/>
        </w:rPr>
        <w:t>E. 3.2.2</w:t>
      </w:r>
    </w:p>
    <w:p>
      <w:r>
        <w:t>La prescrizione, nella misura in cui concerne il credito fiscale, è una questione di diritto materiale (cfr. sentenze del TAF A-1449/2015 del 2 novembre 2015 consid. 3.2; A-7148/2010 del 19 dicembre 2012 consid. 4.2 con rinvii; Beusch, op. cit., pag. 282 seg.). Per questo motivo, alla stessa risulta applicabile il diritto vigente al momento in cui le circostanze di fatto alla base del gravame hanno avuto luogo.</w:t>
      </w:r>
    </w:p>
    <w:p>
      <w:r>
        <w:rPr>
          <w:b/>
        </w:rPr>
        <w:t>E. 3.2.3</w:t>
      </w:r>
    </w:p>
    <w:p>
      <w:r>
        <w:t>La prescrizione dei crediti fiscali in materia di imposta preventiva è retta dall'art. 17 LIP. Il credito fiscale si prescrive in cinque anni, a contare dall'anno civile in cui è sorto (cfr. art. 17 cpv. 1 LIP). La prescrizione è interrotta ogni volta che una persona tenuta al pagamento riconosce il credito fiscale e ogni volta che un atto ufficiale inteso ad esigerlo è notificato a una persona tenuta al pagamento. Un nuovo termine di prescrizione comincia a decorrere a ogni interruzione (cfr. art. 17 cpv. 3 LIP). La LIP non prevede alcuna prescrizione assoluta, ciò che costituisce un silenzio qualificato (cfr. ATF 112 II 49 consid. 2d; [confermato dalla sentenza del TF 2C_188/2010 del 24 gennaio 2011]; sentenza del TAF A-1368/2021 del 14 marzo 2022 consid. 3.1). Tuttavia, nel caso di una violazione della legislazione amministrativa federale, determinante per ciò che concerne la prescrizione dell'assoggettamento a una prestazione o a una restituzione, non sono le disposizioni corrispondenti contenute nelle relative leggi amministrative bensì, in virtù del rinvio dell'art. 67 cpv. 1 LIP, la legge federale del 22 marzo 1974 sul diritto penale amministrativo (DPA, RS 313.0) (cfr. DTF 143 IV 228 consid. 4.2 e i riferimenti citati; 139 IV 246 consid. 1.1).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del Codice penale svizzero del 21 dicembre 1937 [CP, RS 311.0]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Beusch/Malla, VStG-Kommentar, n. 56 ad « Vorbemerkungen zu Art. 61-67 »).</w:t>
      </w:r>
    </w:p>
    <w:p>
      <w:r>
        <w:rPr>
          <w:b/>
        </w:rPr>
        <w:t>E. 3.2.4</w:t>
      </w:r>
    </w:p>
    <w:p>
      <w:r>
        <w:t>Conformemente all'art. 98 CP - applicabile in virtù dell'art. 2 DPA - il termine di prescrizione di 7 anni decorre dal giorno in cui l'autore ha esercitato la sua attività colpevole, detto giorno non essendo tuttavia preso in conto nel calcolo del termine (cfr. DTF 143 IV 228 consid. 4.5; 134 IV 297 consid. 4.1). Nel caso in cui una società anonima effettua una prestazione valutabile in denaro cedendo ad un azionista o ad una persona a lui vicina dei redditi non contabilizzati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citata sentenza del TF del 26 marzo 1987 consid. 5, in: ASA 56 pag. 203 segg.; cfr DTF 143 IV 228 considd. 4.6.1-4.6.3; sentenza del TAF A-6690/2017 del 12 maggio 2021 consid. 4.1.3. [confermata dal TF con sentenza 2C_507/2021 del 31 agosto 2022). In tal caso, l'attività colpevole ai sensi dell'art. 98 CP consiste nella consegna di documenti contabili irregolari alla competente autorità (cfr. [tra le tante] sentenze del TAF A-2164/2019 del 3 agosto 2020 consid. 4.1.3; A-458/2017 del 23 agosto 2018 consid. 6.1.2 con rinvii).</w:t>
      </w:r>
    </w:p>
    <w:p>
      <w:r>
        <w:rPr>
          <w:b/>
        </w:rPr>
        <w:t>E. 3.2.5</w:t>
      </w:r>
    </w:p>
    <w:p>
      <w:r>
        <w:t>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del Codice delle obbligazioni del 30 marzo 1911. Più nel dettaglio, in virtù dell'art. 21 cpv. 1 OIPrev, ogni società anonima (art. 9 cpv. 1 LIP) è tenuta a consegnare spontaneamente i propri conti annuali all'AFC, nei 30 giorni successivi alla loro approvazione. Ai sensi dell'art. 699 cpv. 2 del Codice delle obbligazioni del 30 marzo 1911 (RS, 220)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 confermata dal TF con sentenza del 2C_743/2020 del 17 giugno 2021).</w:t>
      </w:r>
    </w:p>
    <w:p>
      <w:r>
        <w:rPr>
          <w:b/>
        </w:rPr>
        <w:t>E. 3.2.6</w:t>
      </w:r>
    </w:p>
    <w:p>
      <w:r>
        <w:t>Il termine di prescrizione di 7 anni è sospeso durante i procedimenti d'opposizione, di reclamo o giudiziari circa l'obbligo di pagamento o restituzione (cfr. art. 11 cpv. 3 DPA; sentenza del TAF A-3060/2015 e A-3113/2015 del 10 novembre 2015 consid. 4.3.3 con rinvii; Beusch/Malla, VStG-Kommentar, n. 56 ad «Vorbemerkungen zu Art. 61-67 »).</w:t>
      </w:r>
    </w:p>
    <w:p>
      <w:r>
        <w:rPr>
          <w:b/>
        </w:rPr>
        <w:t>E. 3.2.7</w:t>
      </w:r>
    </w:p>
    <w:p>
      <w:r>
        <w:t>Il predetto termine di prescrizione può essere interrotto dalle parti, ogni qualvolta esse intervengano nella procedura mediante un « atto interruttivo ». In tal caso, un nuovo termine di prescrizione comincia a decorrere ad ogni interruzione. L'atto interruttivo della prescrizione non deve rivestire una forma particolare. La semplice comunicazione, secondo cui la riscossione dell'imposta è richiesta, è al riguardo sufficiente. In diritto fiscale, detto atto è infatti concepito in maniera larga: esso ingloba ogni azione dell'autorità portata alla conoscenza dell'assoggettato e destinata ad accertare o ad incassare il credito fiscale. Segnatamente l'annuncio o la messa in opera di verifiche contabili, la notifica di un conteggio complementare o di un avviso di credito valgono interruzione della prescrizione, come pure un precetto esecutivo, una decisione o una decisione su reclamo (cfr. [tra le tante] sentenza del TAF A-1449/2015 del 2 novembre 2015 consid. 3.2.2 con rinvii [confermata dal TF con sentenza 2C_1095/2015 del 27 maggio 2016 consid. 4.3.3]). Ciò che è determinante è che l'atto interruttivo della prescrizione menzioni l'essenziale delle circostanze di fatto sulle quali si fonda il credito fiscale, permettendo in tal modo all'assoggettato di comprendere di cosa si tratta (cfr. [tra le tante] la citata sentenza del TAF A-1449/2015 consid. 3.2.2 con rinvii). Non è tuttavia necessario che le circostanze di fatto suscettibili di comportare una ripresa fiscale siano interamente delucidate, né che l'importo del credito fiscale venga indicato (cfr. [tra le tante] la citata sentenza del TAF A-1449/2015 consid. 3.2.2 con rinvii).</w:t>
      </w:r>
    </w:p>
    <w:p>
      <w:r>
        <w:rPr>
          <w:b/>
        </w:rPr>
        <w:t>E. 3.2.8</w:t>
      </w:r>
    </w:p>
    <w:p>
      <w:r>
        <w:t>Nel caso specifico, il credito di imposta preventiva oggetto della ripresa fiscale dell'autorità inferiore concerne il periodo fiscale 2012 in relazione a una prestazione valutabile in denaro effettuata dalla società ricorrente nei confronti della propria casa madre ai sensi dell'art. 4 cpv. 1 lett. b LIP e dell'art. 20 cpv. 1 OIPrev. Ora, l'attività colpevole compiuta dalla società ricorrente concerne una prestazione valutabile in denaro nei confronti di un azionista o ad una persona a lui vicina soggetta ad imposta preventiva per il periodo fiscale 2012. Secondo poi i conti annuali inviati dalla società ricorrente all'autorità inferiore (cfr. atti 15 e 16 inc. AFC), risulta che l'esercizio commerciale e l'anno solare sono coincidenti; infatti, la chiusura dell'esercizio annuale 2011 risale al 31 dicembre 2011. Ne consegue che il termine di prescrizione di 7 anni comincia a decorrere, al più presto, nell'anno 2012 e prende fine, sempre al più presto, nell'anno 2018. Tale termine è stato tuttavia validamente interrotto dall'autorità inferiore in data 5 dicembre 2017 (cfr. decisione dell'autorità inferiore del 26 gennaio 2022, sub fatti, pt. H, pag. 3). Tale interruzione ha avuto quale conseguenza quella che un nuovo termine di 5 anni ha iniziato a decorrere. Il Tribunale fa inoltre presente che il termine della prescrizione relativa è stato ulteriormente interrotto dapprima con conteggio del 6 agosto 2018 e in seguito con decisione del 13 febbraio 2020. Essendo quindi che il termine della prescrizione relativa è stato interrotto a più riprese senza che fra le varie interruzioni ci fosse un intervallo superiore a 5 anni, il credito fiscale fatto valere dall'autorità inferiore non risulta nel caso specifico prescritto. Visti i considerandi che precedono, lo scrivente Tribunale constata che le pretese avanzate dall'autorità inferiore non sono ancora prescritte.</w:t>
      </w:r>
    </w:p>
    <w:p>
      <w:r>
        <w:rPr>
          <w:b/>
        </w:rPr>
        <w:t>E. 4</w:t>
      </w:r>
    </w:p>
    <w:p>
      <w:r>
        <w:t>Nel caso in esame, oggetto del litigio è il credito fiscale di 238'307.25 franchi, interessi di mora esclusi, dovuto in relazione a una prestazione valutabile in denaro pari a 680'877.84 franchi di cui la società ricorrente è stata ritenuta debitrice dall'autorità inferiore, a seguito della verifica fiscale per i periodi fiscali 2011 e 2012 in cui sono emerse due prestazioni valutabili in denaro. Poiché la società ricorrente contesta solamente il credito fiscale relativo a una delle due prestazioni valutabili in denaro, ovvero quello pari a 680'877.84 franchi, ammettendo nel contempo la pretesa dell'autorità inferiore concernente il credito d'imposta preventiva dovuto in relazione al prestito infruttifero concesso alla propria casa madre, quest'ultimo punto non sarà esaminato dal Tribunale.</w:t>
      </w:r>
    </w:p>
    <w:p>
      <w:r>
        <w:rPr>
          <w:b/>
        </w:rPr>
        <w:t>E. 5</w:t>
      </w:r>
    </w:p>
    <w:p>
      <w:r>
        <w:t>Prima di entrare nel merito delle censure sollevate dalla società ricorrente in merito alla ripresa fiscale operata dall'autorità inferiore a titolo di imposta preventiva, qui di seguito verranno richiamati i principi applicabili al caso specifico.</w:t>
      </w:r>
    </w:p>
    <w:p>
      <w:r>
        <w:rPr>
          <w:b/>
        </w:rPr>
        <w:t>E. 5.1</w:t>
      </w:r>
    </w:p>
    <w:p>
      <w:r>
        <w:t>La Confederazione può riscuotere un'imposta preventiva sul reddito dei capitali mobili (cfr. art. 132 cpv. 1 Costituzione federale [Cost., RS 101].; art. 1 cpv. 1 LIP). L'imposta preventiva è rimborsata al beneficiario della prestazione decurtata dell'imposta (cfr. art. 1 cpv. 2 LIP).</w:t>
      </w:r>
    </w:p>
    <w:p>
      <w:r>
        <w:rPr>
          <w:b/>
        </w:rPr>
        <w:t>E. 5.2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[confermata dal TF con sentenza 2C_741/2020 del 17giugno 2021]).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 [confermata dal TF con sentenza 2C_741/2020 del 17giugno 2021]).</w:t>
      </w:r>
    </w:p>
    <w:p>
      <w:r>
        <w:rPr>
          <w:b/>
        </w:rPr>
        <w:t>E. 5.2.1</w:t>
      </w:r>
    </w:p>
    <w:p>
      <w:r>
        <w:t>Ai sensi dell'art. 20 cpv. 1 OIPrev, nella nozione di prestazione valutabile in denaro rientra altresì la cosiddetta « distribuzione dissimulata di utili » o « distribuzione occulta di utili » (« verdeckte Gewinausschüttungen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[confermata dal TF con sentenza 2C_741/2020 del 17giugno 2021]):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 [confermata dal TF con sentenza 2C_741/2020 del 17giugno 2021]).</w:t>
      </w:r>
    </w:p>
    <w:p>
      <w:r>
        <w:rPr>
          <w:b/>
        </w:rPr>
        <w:t>E. 5.2.2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5.2.3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2C_857/2020 dell'11 febbraio 2021 consid. 4.5;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5.3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5.4.1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 [confermata dal TF con sentenza 2C_741/2020 del 17giugno 2021]).</w:t>
      </w:r>
    </w:p>
    <w:p>
      <w:r>
        <w:rPr>
          <w:b/>
        </w:rPr>
        <w:t>E. 5.4.2</w:t>
      </w:r>
    </w:p>
    <w:p>
      <w:r>
        <w:t>La prova dell'esistenza di una prestazione valutabile in denaro ai sensi dell'art. 20 OIPrev - e meglio dei tre/quattro relativi elementi costitutivi (cfr. consid. 5.2.1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[confermata dal TF con sentenza 2C_741/2020 del 17giugno 2021]). In linea di massima, il principio dell'autotassazione (cfr. art. 38 LIP; consid. 5.4.1 del presente giudizio) e l'obbligo di collaborare del contribuente (cfr. art. 39 LIP; consid. 5.4.3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5.4.3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[confermata dal TF con sentenza 2C_741/2020 del 17giugno 2021]).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 [confermata dal TF con sentenza 2C_741/2020 del 17giugno 2021]).</w:t>
      </w:r>
    </w:p>
    <w:p>
      <w:r>
        <w:rPr>
          <w:b/>
        </w:rPr>
        <w:t>E. 5.5.1</w:t>
      </w:r>
    </w:p>
    <w:p>
      <w:r>
        <w:t>Giusta l'art. 16 cpv. 1 lett. c LIP, l'imposta preventiva scade trenta giorni dopo che è sorto il credito fiscale. Per i redditi da capitale mobiliare, il credito fiscale sorge alla scadenza della prestazione imponibile (cfr. art. 12 cpv. 1 LIP). Secondo l'ordinanza del 29 novembre 1996 del Dipartimento federale delle finanze concernente l'interesse di mora in materia di imposta preventiva (RU 2021 432), entrata in vigore il 1° gennaio 1997 e abrogata il 1° gennaio 2022, un interesse di mora è dovuto, senza diffida, sugli importi di imposta non ancora pagati alle scadenze stabilite dal cpv. 1 fino al giorno del pagamento (cfr. art. 12 cpv. 2 LIP in combinato disposto con l'art. 1 dell'ordinanza DFF; [tra le tante] sentenza del TAF A-2153/2019 del 3 agosto 2020 consid. 6.6 con rinvii [confermata dal TF con sentenza 2C_741/2020 del 17giugno 2021]).</w:t>
      </w:r>
    </w:p>
    <w:p>
      <w:r>
        <w:rPr>
          <w:b/>
        </w:rPr>
        <w:t>E. 5.5.2</w:t>
      </w:r>
    </w:p>
    <w:p>
      <w:r>
        <w:t>L'art. 1 dell'ordinanza del 25 giugno 2021 del DFF concernente gli interessi moratori e rimuneratori su tasse e imposte entrata in vigore il 1° gennaio 2022 - sostituendo così la precitata ordinanza - stabilisce i tassi di interesse in particolare per l'imposta preventiva (cfr. art. 1 cpv. 1 lett. j). I tassi di interesse sono stabiliti per ogni anno civile e sono riportati nell'allegato (cfr. art. 1 cpv. 2). Per l'anno civile 2022, l'interesse moratorio è fissato al 4% l'anno. L'art. 4 cpv. 2 della precitata ordinanza prevede inoltre che nel caso di tasse di bollo e di imposta preventiva esigibili prima del 1° gennaio 2022, il tasso di interesse moratorio è del 5% fino al 31 dicembre 2021.</w:t>
      </w:r>
    </w:p>
    <w:p>
      <w:r>
        <w:rPr>
          <w:b/>
        </w:rPr>
        <w:t>E. 6.1</w:t>
      </w:r>
    </w:p>
    <w:p>
      <w:r>
        <w:t>Stabiliti i principi applicabili, al fine di verificare il ben fondato della ripresa d'imposta preventiva oggetto del presente procedimento, il Tribunale considera necessario esaminare se, per il periodo fiscale 2012, è a giusto titolo che l'autorità inferiore ha ritenuto, nei confronti della società ricorrente, la sussistenza di una prestazione valutabile in denaro soggetta ad imposta preventiva ai sensi dell'art. 4 cpv. 1 lett. b LIP in combinato disposto con l'art. 20 cpv. 1 OIPrev nella forma di una distribuzione dissimulata di utile alla propria azionista. Per il Tribunale si tratta quindi di stabilire se le tre condizioni precedentemente esposte sono nel caso specifico soddisfatte (cfr. consid. 5.2.1 del presente giudizio).</w:t>
      </w:r>
    </w:p>
    <w:p>
      <w:r>
        <w:rPr>
          <w:b/>
        </w:rPr>
        <w:t>E. 6.2</w:t>
      </w:r>
    </w:p>
    <w:p>
      <w:r>
        <w:t>In primo luogo, occorre verificare se la società ricorrente ha effettuato una prestazione senza ottenere una controprestazione adeguata. A tal proposito, l'autorità inferiore ha considerato che la società ricorrente ha rinunciato ad un utile pari ad un ammontare di 680'877.84 franchi per i seguenti motivi. In data 20 novembre 2009, la C._______ e la D._______ Sagl hanno costituito la società anonima E._______ SA. Il suo capitale azionario di 100'000 franchi, suddiviso in 100 azioni al portatore di 1'000 franchi cadauna, è stato sottoscritto nella misura del 50% dalla C._______ e nella misura del 50% dalla D._______ Sagl (cfr. atto n° 22 inc. AFC). Sulla base dell'accordo transattivo del riparto azionario della E._______ SA del 16 dicembre 2010, la quota di partecipazione della C._______ è poi scesa al 49% (cfr. atto n°21 inc. AFC). In data 4 gennaio 2011, la casa madre C._______ e la A._______ SA hanno sottoscritto un contratto di vendita concernente il precitato 49% del capitale sociale della E._______ SA (cfr. atto n°20 dell'inc. AFC). Sulla base di tale contratto, la A._______ SA ha acquistato il predetto 49% del capitale sociale della E._______ SA dalla propria casa madre C._______ (cfr. atto n°20 dell'inc. AFC). Tale contratto prevedeva che « il prezzo di compravendita è stabilito in CHF 50'000.- da regolarsi entro il 31.12.2011 » e che « [...] la compravendita è considerata perfezionata a far tempo dalla data di apposizione della firma delle parti » (cfr. atto n° 20 inc. AFC). A giusto titolo, l'autorità inferiore ha quindi ritenuto che la compravendita fosse da considerarsi perfezionata a partire dal 4 gennaio 2011. Dal 4 gennaio 2011, la società ricorrente era quindi l'effettiva proprietaria del 49% del capitale azionario della E._______ SA. In data 28 novembre 2011, la A._______ SA ha poi proceduto al pagamento dei 50'000 franchi a favore della propria casa madre C._______ (cfr. atto n°20 inc. AFC). Poco tempo dopo, ovvero in data 15 aprile 2011, la A._______ SA e la D._______ Sagl hanno a loro volta concluso un accordo transattivo concernente sempre il 49% del capitale sociale della E._______ SA (cfr. atto n°19 dell'inc. AFC). Sulla base di tale accordo, la A._______ SA ha venduto il 49% del capitale sociale della E._______ SA di cui, come visto, era l'effettiva proprietaria, alla D._______ Sagl, per un prezzo pari a 730'877.84 franchi (cfr. atto n°19 inc. AFC). Secondo i termini dell'accordo, « il passaggio di proprietà della percentuale detenuta dalla società A._______, pari al 49% della E._______ SA, avrà effetto solo al verificarsi della seguente condizione e più precisamente: pagamento alla A._______ di CHF 730.877.84 [...] importo che sarà versato al lordo del 35% di Withholding Tax come da documento allegato dello Studio Fiduciario F._______ di (...) » (cfr. atto n° 19 inc. AFC). Il prezzo d'acquisto, versato il 18 aprile 2011, è stato dapprima contabilizzato dalla società ricorrente sul conto di bilancio « X » per poi, il 1 gennaio 2012, essere versato definitivamente sul conto debitore « Y C._______ ». Su quest'ultimo conto era per altro già stato contabilizzato l'acquisto della predetta quota di partecipazione da parte della società ricorrente alla C._______ per 50'000 franchi. Ne consegue quindi che la società ricorrente, versando in modo definitivo sul conto debitore « Y C._______ » il ricavato della vendita del 49% del capitale azionario della E._______ SA di 730'877.84 franchi, ha rinunciato a un utile di 680'877.84 franchi (= 730'877.84 franchi - 50'000 franchi) di sua spettanza, essendo lei, al momento della vendita alla D._______ Sagl, la proprietaria effettiva della partecipazione della E._______ SA.</w:t>
      </w:r>
    </w:p>
    <w:p>
      <w:r>
        <w:rPr>
          <w:b/>
        </w:rPr>
        <w:t>E. 6.3.1</w:t>
      </w:r>
    </w:p>
    <w:p>
      <w:r>
        <w:t>Il Tribunale osserva che, quando si tratta di confrontare la prestazione effettuata dalla società con la contro-prestazione ricevuta dalla medesima, ovvero, come nel caso specifico, di confrontare la prestazione fornita dalla società ricorrente alla sua società madre C._______ - ossia il trasferimento di 680'877.84 franchi - con la prestazione corrispettiva fornita dalla società madre alla società ricorrente, la giurisprudenza e la prassi tendono ad applicare il principio della valutazione singola. Tuttavia, alla luce di quanto finora esposto, il Tribunale ritiene ugualmente opportuno esaminare il caso specifico anche sotto il profilo del principio della valutazione globale, più precisamente dal punto di vista della compensazione. È infatti opportuno esaminare se la sproporzione alla base delle distribuzioni dissimulate di utile oggetto del presente caso possa essere valutata in maniera globale, e ciò prendendo quindi in considerazione, globalmente, l'insieme delle prestazioni e delle controprestazioni effettuate tra la società e il suo azionista. Fondamentalmente si tratta quindi di stabilire se, in determinate circostanze, sia possibile derogare al principio della valutazione singola. In effetti, pur non essendo stata tale questione esplicitamente sollevata dalla società ricorrente in sede di ricorso, occorre valutare nel caso di specie se non si sia in presenza di una tale compensazione, essendo stato l'apporto dissimulato che la società madre C._______ ha concesso alla società figlia - cedendole una quota azionaria ad un prezzo largamente inferiore al suo valore venale - in un certo senso compensato sul piano economico con l'operazione finale di trasferimento nei confronti della società madre C._______ del ricavato della vendita della partecipazione della E._______ SA.</w:t>
      </w:r>
    </w:p>
    <w:p>
      <w:r>
        <w:rPr>
          <w:b/>
        </w:rPr>
        <w:t>E. 6.3.2</w:t>
      </w:r>
    </w:p>
    <w:p>
      <w:r>
        <w:t>A tal proposito, il Tribunale fa presente che l'AFC assume un approccio di norma in linea con il principio della valutazione singola in ambito di imposta preventiva, applicando il principio della valutazione globale solo se tale è stato previsto fin dal principio dalle parti e se un contratto regola la compensazione fra le prestazioni della società e quelle dell'azionista. Per quanto concerne invece la giurisprudenza, nella DTF 113 Ib 23 dapprima, poi confermata nella sentenza del TF 2C_386/2012 del 16 novembre 2012, il Tribunale federale ha stabilito che nel caso di distribuzioni dissimulate di utili, non si può escludere a priori l'adozione di un approccio globale che prenda in considerazione diverse prestazioni e controprestazioni avvenute tra una società e il suo azionista (con riferimento a Robert Danon, in: Commentaire romand, Impôt fédéral direct, n. 115 ss ad art. 57-58 LIFD). Secondo la giurisprudenza, tale approccio globale è soggetto a determinate condizioni (nesso diretto tra le prestazioni e rispetto del principio di periodicità) ed è limitato al rapporto tra la società e il suo azionista. La questione della compensazione è già stata sottoposta al Tribunale federale nell'ambito di un versamento di spese di rappresentanza a un azionario-direttore (sentenza del TF del 28 febbraio 1986, tradotto in : Revue de droit fiscal et droit administratif [RDAF] 1988, 400). In tale caso, si poneva la questione di sapere se la sproporzione dovuta a tali spese, manifestamente troppo elevate, poteva essere compensata con un salario particolarmente modesto. L'Alta Corte ha tuttavia scartato l'ipotesi di una valutazione globale delle circostanze. Infatti, sulla base della strategia contabile adottata dalla società (compensazione fra salari e spese), le precitate spese non figuravano né nei conti economici della società, né nei certificati di salario dell'impiegato. Di conseguenza, il Tribunale federale ha stabilito che in tale caso stava alla società assumersi le conseguenze della maniera in cui essa aveva deciso di contabilizzare gli importi spesi. Il principio della buona fede è infatti vincolante anche per i contribuenti e, specialmente, vieta di proteggere i comportamenti illeciti che mirano deliberatamente a ingannare l'autorità fiscale, per esempio trasformando a posteriori le indennità in salario occulto. Una valutazione globale deve essere in particolare esclusa quando, come in tal caso, gli atti della società devono essere considerati come oggetto di delitti fiscali o di complicità a tali delitti. Non si può quindi escludere a priori che le prestazioni valutabili in denaro possano, nel quadro di un approccio globale, essere compensate da un apporto dissimulato di capitale. Questo approccio globale è stato tuttavia respinto nella sentenza citata (2C_386/2012), poiché il ricorrente aveva sì invocato un accordo di risanamento, senza però produrre alcuna prova in merito. La Corte ha quindi ritenuto che il semplice fatto che l'accordo in questione avesse portato a un risultato complessivo positivo per il ricorrente, tipico di qualsiasi operazione di risanamento, non potesse escludere l'esistenza di un vantaggio in denaro per l'azionista. Dalla giurisprudenza sopra riportata si evince quindi che per ammettere un approccio globale delle circostanze, cioè per prendere in considerazione non solo la prestazione valutabile in denaro, ma anche l'insieme di fatti avvenuti sia prima che dopo tale distribuzione, è necessario che i vantaggi reciprocamente concessi si compensino in termini di valore, di modo che alla fine né l'azionista né la società ottengano un vantaggio o una prestazione valutabile in denaro. Tale approccio può tuttavia essere preso in considerazione solamente se i negozi giuridici che sono presunti essere compensati fra loro sono direttamente collegati fra loro, in modo che uno non sarebbe stato concluso senza l'altro. La compensazione deve per altro concernere dei negozi giuridici compiuti durante il medesimo periodo, rispettando così il principio della periodicità, che impone di assoggettare all'imposta in un determinato periodo fiscale unicamente l'utile conseguito in quel dato periodo fiscale. In tale contesto quindi, un'eccezione al principio della valutazione singola, basata su un'analisi economica della fattispecie, è di principio ammissibile.</w:t>
      </w:r>
    </w:p>
    <w:p>
      <w:r>
        <w:rPr>
          <w:b/>
        </w:rPr>
        <w:t>E. 6.3.3</w:t>
      </w:r>
    </w:p>
    <w:p>
      <w:r>
        <w:t>Nel caso specifico va ricordato che il ricavato della vendita della partecipazione in questione, che è stato indubbiamente trasferito dalla società ricorrente alla società madre C._______ su conto debitore « Y C._______ » in data 1 gennaio 2012 senza alcuna contro-prestazione, ha avuto origine dall'apporto dissimulato che la società madre C._______ le ha concesso in data 4 gennaio 2011, corrispondente alla cessione del 49% del capitale azionario della E._______ SA ad un prezzo pari a 50'000 franchi, che ha arricchito la società figlia di un importo equivalente alla differenza tra il valore venale di tale partecipazione e il prezzo di vendita. Tale operazione consiste in un apporto dissimulato che non ha alcun effetto né sull'imposta sull'utile (cfr. art. 60 LIFD) né sull'imposta preventiva. In effetti, un beneficio può essere qualificato come apporto dissimulato se è acquisito dalla società figlia (cfr. DTF 119 Ib 116 consid. 2; Walter Ryser /Bernard Rolli, Précis de droit fiscal suisse, 4a ed., 2002, p. 318, 321 s.). Si deve quindi in sostanza constatare che la società ricorrente si è arricchita per mezzo di un apporto senza controprestazione (apporto in natura dissimulato) nell'anno 2011, per poi rivendere la partecipazione che le aveva ceduto la società madre C._______ alla D._______ Sagl e per infine traferire il ricavato della precitata vendita alla società madre C._______ mediante registrazione contabile del 1° gennaio 2012. In tale contesto, risulta quindi opportuno verificare se l'approccio globale possa, in via eccezionale, portare ad ammettere una compensazione tra l'apporto dissimulato concesso dalla società madre C._______ alla società figlia e la prestazione successivamente fornita da quest'ultima alla società madre C._______. A tal fine, il Tribunale analizzerà quindi le condizioni stabilite dalla giurisprudenza in merito alla compensazione (cfr. consid. 6.3.2 del presente giudizio). In primo luogo, il Tribunale rileva che, dal punto di vista economico, le operazioni, quella di vendita della partecipazione del 49% della E._______ SA da parte della società madre C._______ alla società ricorrente (cfr. inc. AFC atto n° 20) - avvenuta in data 4 gennaio 2011 - e poco tempo dopo - più precisamente avvenuta in data 18 aprile 2011 - e quella di vendita da parte di quest'ultima a una società terza quale la D._______ Sagl (cfr. inc. AFC atto n° 19) costituiscono senza alcun dubbio un tutt'uno. Ciò è peraltro quanto sostenuto nel proprio gravame dalla società ricorrente, seppur il ragionamento sia giuridicamente carente in punto di dettagli. È infatti proprio nell'ottica di trasferire il 49% del capitale azionario della E._______ SA al suo azionista di maggioranza - ovvero la D._______ Sagl - che la casa madre C._______ ha dapprima venduto la precitata partecipazione alla società figlia. Al momento della vendita, avvenuta ad inizio 2011, la C._______ sapeva già che la partecipazione sarebbe poi stata trasferita alla D._______ Sagl, che sarebbe in tal modo diventata azionista al 100% della E._______ SA. Per quanto detto, ne consegue che l'apporto dissimulato concesso dalla casa madre C._______ alla società figlia tramite la vendita della partecipazione della E._______ SA avvenuta in data 4 gennaio 2011 è da considerarsi strettamente connesso con il successivo trasferimento, operato dalla società figlia, del ricavato della successiva vendita della precitata partecipazione pari a 730'877.84 franchi, trasferimento avvenuto in data 1° gennaio 2012 sul conto debitore « Y C._______ ». Ne risulta quindi che le due operazioni sono economicamente connesse, così come richiesto dalla giurisprudenza. Si tratta inoltre di due prestazioni dello stesso genere, dal momento che un beneficio può essere qualificato sia di distribuzione dissimulata dell'utile - se è concessa alla società madre o alla persona fisica azionaria - sia di apporto dissimulato - se è concesso alla società figlia - o, ancora, può essere qualificato di entrambi - in applicazione della teoria del triangolo - se il beneficiario è una società sorella o un'altra società affiliata. Per ciò che concerne poi l'aspetto della periodicità, il Tribunale rileva che i fatti descritti si sono fra loro susseguiti in maniera sufficientemente ravvicinata, tale da ammettere che il principio della periodicità è rispettato anche adottando un approccio della valutazione globale. Infatti, tanto l'operazione di apporto dissimulato prima, che la vendita della partecipazione operata dalla società ricorrente poi, hanno avuto luogo nel 2011, più precisamente in data 4 gennaio 2011 (cfr. atto n° 20 inc. AFC), rispettivamente in data 18 aprile 2011 (cfr. atto n° 19 inc. AFC). Il conseguente trasferimento del ricavato della vendita è certo avvenuto in data 1° gennaio 2012, ma sempre comunque nel quadro di una registrazione contabile particolare. Ne consegue quindi che un periodo della di una durata di un anno tra l'operazione di apporto dissimulato e la prestazione « di ritorno » permette di applicare un approccio globale senza violare il principio della periodicità. Infine, il Tribunale constata che gli importi conferiti in maniera occulta, ovvero, dapprima, la vendita da parte della casa madre C._______ alla società ricorrente della partecipazione della E._______ SA ad un prezzo pari a 50'000 franchi - un prezzo cioè equivalente alla differenza tra il valore venale di tale partecipazione e il prezzo di vendita (730'877.84 franchi - 50'000 franchi) - e il successivo trasferimento da parte della società ricorrente alla casa madre C._______ del ricavato della vendita della precitata partecipazione - pari a 680'877.84 franchi - sono identici. Ora, vero è che l'apporto dissimulato e la successiva prestazione valutabile in denaro non sono state formalizzate in una convenzione. Una tale convenzione non è tuttavia una condizione posta dalla giurisprudenza. Se, infatti, nella precitata sentenza 2C_386/2012, il Tribunale federale sembra andare nella direzione secondo cui la ricorrente debba lasciarsi imputare a suo discapito il fatto di non aver prodotto una tale convenzione (« sans compter que la recourante n'a pas fourni d'indications précises et encore moins produit de moyens de preuve concernant cette convention », consid. 7.3) è, perché, in quel caso, era la ricorrente stessa ad invocare una convenzione di risanamento. Lo scrivente Tribunale ritiene tuttavia che nel caso specifico non si può ammettere, rispettivamente negare, un approccio globale delle circostanze per il solo fatto che le varie operazioni (apporto dapprima, distribuzione della società ricorrente alla società madre poi) non sarebbero state formalizzate in una convenzione. La giurisprudenza non può essere interpretata in tal senso.</w:t>
      </w:r>
    </w:p>
    <w:p>
      <w:r>
        <w:rPr>
          <w:b/>
        </w:rPr>
        <w:t>E. 6.4</w:t>
      </w:r>
    </w:p>
    <w:p>
      <w:r>
        <w:t>Visti i considerandi che precedono, il Tribunale giunge alla conclusione che le condizioni poste dalla giurisprudenza per ammettere una valutazione delle circostanze di specie secondo un approccio globale sono nel caso specifico soddisfatte. Ne consegue che a torto l'autorità inferiore ha considerato singolarmente la distribuzione dissimulata concessa dalla società ricorrente alla società madre C._______ senza prendere in conto l'apporto dissimulato concesso dalla società madre C._______ alla società figlia di cui quest'ultima aveva beneficiato poco tempo prima. Non sussiste quindi motivo per ritenere che la società ricorrente abbia effettuato una prestazione senza ricevere un'adeguata controprestazione in cambio. La corrispondente condizione per ammettere la sussistenza di una prestazione valutabile in denaro, come esige la giurisprudenza relativa all'imposta preventiva, per poi procedere all'imposizione, fa quindi difetto. La decisione dell'autorità inferiore va dunque annullata nella misura in cui contraria alla presente decisione.</w:t>
      </w:r>
    </w:p>
    <w:p>
      <w:r>
        <w:rPr>
          <w:b/>
        </w:rPr>
        <w:t>E. 6.5</w:t>
      </w:r>
    </w:p>
    <w:p>
      <w:r>
        <w:t>Per quanto detto, il Tribunale non ritiene necessario esaminare le ulteriori censure sollevate dalla società ricorrente nel proprio gravame, dovendo quest'ultimo essere accolto, non essendo nel caso specifico adempiuta la precitata condizione necessaria per ammettere la sussistenza di una prestazione valutabile in denaro.</w:t>
      </w:r>
    </w:p>
    <w:p>
      <w:r>
        <w:rPr>
          <w:b/>
        </w:rPr>
        <w:t>E. 6.6</w:t>
      </w:r>
    </w:p>
    <w:p>
      <w:r>
        <w:t>Visto l'esito della procedura, nessuna spesa processuale è messa a carico della società ricorrente e dell'autorità inferiore (art. 63 PA). L'anticipo spese di 9'000 franchi versato dalla società ricorrente le verrà quindi restituito integralmente.</w:t>
      </w:r>
    </w:p>
    <w:p>
      <w:r>
        <w:rPr>
          <w:b/>
        </w:rPr>
        <w:t>E. 7</w:t>
      </w:r>
    </w:p>
    <w:p>
      <w:r>
        <w:t>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Le ripetibili comprendono le spese di rappresentanza o di patrocinio ed eventuali altri disborsi di parte (art. 8 TS-TAF). Nella fattispecie, ritenuto segnatamente che la società ricorrente non è rappresentata da un avvocato, non ha diritto alle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