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A-924/2009 vom 23. Oktober 2009</w:t>
      </w:r>
    </w:p>
    <w:p>
      <w:r>
        <w:t>Bundesverwaltungsgericht, 2009-10-23, DE</w:t>
      </w:r>
    </w:p>
    <w:p>
      <w:r>
        <w:rPr>
          <w:b/>
        </w:rPr>
        <w:t xml:space="preserve">Quelle: </w:t>
      </w:r>
      <w:r>
        <w:t>https://mcp.opencaselaw.ch/entscheid/bvger_A-924_2009</w:t>
      </w:r>
    </w:p>
    <w:p>
      <w:r>
        <w:t>FR: TAF A-924/2009 du 23 octobre 2009</w:t>
      </w:r>
    </w:p>
    <w:p>
      <w:r>
        <w:t>IT: TAF A-924/2009 del 23 ottobre 2009</w:t>
      </w:r>
    </w:p>
    <w:p>
      <w:pPr>
        <w:pStyle w:val="Heading2"/>
      </w:pPr>
      <w:r>
        <w:t>Regeste</w:t>
      </w:r>
    </w:p>
    <w:p>
      <w:r>
        <w:t>Eisenbahnen (Übriges)</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vorliegt. Als Vorinstanzen gelten die in Art. 33 und 34 VGG genannten Behörden. Die Verfügungen des BAV im Bereich der Plangenehmigungen nach Art. 18 ff. des Eisenbahngesetzes vom 20. Dezember 1957 (EBG, SR 742.101) sind vor Bundesverwaltungsgericht anfechtbar. Das Verfahren richtet sich gemäss Art. 37 VGG nach dem VwVG, soweit das VGG nichts anderes bestimmt.</w:t>
      </w:r>
    </w:p>
    <w:p>
      <w:r>
        <w:rPr>
          <w:b/>
        </w:rPr>
        <w:t>E. 1.2</w:t>
      </w:r>
    </w:p>
    <w:p>
      <w:r>
        <w:t>Zur Beschwerde ist nach Art. 48 Abs. 1 Bst. b und c VwVG berechtigt, wer durch die angefochtene Verfügung besonders berührt ist und ein schutzwürdiges Interesse an deren Aufhebung oder Änderung hat. Wer Beschwerde führt, muss materiell beschwert, d.h. in Interessen rechtlicher oder tatsächlicher Natur betroffen sein. Bei Mobilfunkanlagen gelten grundsätzlich alle Personen als in besonderer Weise betroffen, die innerhalb eines Perimeters wohnen, indem eine Strahlung von bis zu 10 % des Anlagegrenzwertes erzeugt werden kann, wobei auf den massgebenden Betriebszustand der Anlage und die Verhältnisse in der Hauptstrahlrichtung abzustellen ist (HEINZ AEMISEGGER, Die bundesgerichtliche Rechtsprechung zu Standortgebundenheit und Standortplanung von Mobilfunkanlagen, Schriftenfolge der Schweizerischen Vereinigung für Landesplanung VLP-ASPAN, Nr. 2/08, S. 20). Vorausgesetzt ist aber auch eine formelle Beschwer, d.h. eine beschwerdeführende Partei muss am Verfahren vor der Vorinstanz teilgenommen haben oder es müssen ihr Parteirechte verweigert worden sein (Art. 48 Abs. 1 Bst. a VwVG i.V.m. Art. 18f Abs. 1 des Eisenbahngesetzes vom 20. Dezember 1957 [EBG, SR 742.101]).</w:t>
      </w:r>
    </w:p>
    <w:p>
      <w:r>
        <w:rPr>
          <w:b/>
        </w:rPr>
        <w:t>E. 1.2.1</w:t>
      </w:r>
    </w:p>
    <w:p>
      <w:r>
        <w:t>Die Liegenschaft der Beschwerdeführenden befindet sich an der X._______, Gemeinde Schmitten, ca. 150m von der geplanten Bahnfunkanlage entfernt. Aufgrund der Hauptstrahlrichtung und der Distanz resultiert dort ein Wert von 0.47 V/m, mithin 11.8% des Grenzwertes. Der zur Beschwerde berechtigende Perimeter beträgt im Übrigen 428.7m (vgl. Standortdatenblatt NIS). Die Beschwerdeführenden sind somit als Anwohner und Grundeigentümer durch die angefochtene Verfügung ohne weiteres materiell berührt und - da sie mit ihren Anträgen im Einspracheverfahren unterlegen sind - auch formell beschwert.</w:t>
      </w:r>
    </w:p>
    <w:p>
      <w:r>
        <w:rPr>
          <w:b/>
        </w:rPr>
        <w:t>E. 1.3</w:t>
      </w:r>
    </w:p>
    <w:p>
      <w:r>
        <w:t>Mit dem Beschwerdeantrag wird gleichzeitig der Streitgegenstand im Verfahren vor dem Bundesverwaltungsgericht bestimmt. Die beschwerdeführende Partei legt mit ihrem Begehren fest, in welche Richtung und inwieweit sie das streitige Rechtsverhältnis überprüfen lassen will. Sofern die Beschwerdebegehren lediglich auf Aufhebung oder Änderung der angefochtenen Verfügung lauten, muss auf die Beschwerdebegründung zurückgegriffen werden, um zu ermitteln, was nach dem massgeblichen Willen der beschwerdeführenden Partei Streitgegenstand ist. Die Begehren einer Beschwerde können nach Ablauf der Beschwerdefrist nicht erweitert, sondern höchstens präzisiert, eingeengt oder fallengelassen werden (ANDRÉ MOSER/MICHAEL BEUSCH/LORENZ KNEUBÜHLER, Prozessieren vor dem Bundesverwaltungsgericht, Basel 2008, S. 95 Rz. 2.213 und 2.218 mit Verweis BGE 133 II 34 E. 2.4).</w:t>
      </w:r>
    </w:p>
    <w:p>
      <w:r>
        <w:rPr>
          <w:b/>
        </w:rPr>
        <w:t>E. 1.3.1</w:t>
      </w:r>
    </w:p>
    <w:p>
      <w:r>
        <w:t>Mit Eingabe der Replik haben die Beschwerdeführenden die Beschwerdeanträge 1 und 2 sowie den Eventualantrag 2 fallengelassen. Diese sind infolge Rückzug als gegenstandslos zu betrachten. Zu beurteilen sind daher nur noch Beschwerdeantrag 3 und Eventualantrag 1 (vgl. Sachverhalt Bst. D. und L.).</w:t>
      </w:r>
    </w:p>
    <w:p>
      <w:r>
        <w:rPr>
          <w:b/>
        </w:rPr>
        <w:t>E. 1.4</w:t>
      </w:r>
    </w:p>
    <w:p>
      <w:r>
        <w:t>Auf die im Übrigen form- und fristgerecht (Art. 50 und Art. 52 VwVG) eingereichte Beschwerde ist einzutreten, soweit sie nicht durch Rückzug gegenstandslos geworden ist (vgl. E. 1.3.1).</w:t>
      </w:r>
    </w:p>
    <w:p>
      <w:r>
        <w:rPr>
          <w:b/>
        </w:rPr>
        <w:t>E. 1.5</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(Kölz/Häner, a.a.O., Rz. 290; Urteil des Bundesverwaltungsgerichts [BVGer] A-2422/2008 vom 18. August 2008 E. 7.2). Allerdings muss sichergestellt sein, dass das Gericht auch Verwaltungsentscheide, die überwiegend auf Ermessen beruhen, wirksam überprüfen kann (Urteil des Bundesgerichts 1C_309/2007 vom 29. Oktober 2008 E. 2.1.1 mit Hinweisen).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12. April 2006 E. 5 mit weiteren Hinweisen; Urteile des BVGer A-2016/2006 vom 2. Juli 2008 E. 15.5.1 und A-5466/2008 vom 3. Juni 2009 E. 4.1).</w:t>
      </w:r>
    </w:p>
    <w:p>
      <w:r>
        <w:rPr>
          <w:b/>
        </w:rPr>
        <w:t>E. 2</w:t>
      </w:r>
    </w:p>
    <w:p>
      <w:r>
        <w:t>Die Beschwerdeführenden rügen vorab, die NISV sei überholt und die Grenzwerte würden das Recht auf Leben und die persönliche Freiheit verletzen.</w:t>
      </w:r>
    </w:p>
    <w:p>
      <w:r>
        <w:rPr>
          <w:b/>
        </w:rPr>
        <w:t>E. 2.1</w:t>
      </w:r>
    </w:p>
    <w:p>
      <w:r>
        <w:t>Die umstrittene Antennenanlage ist Teil des Ausbauprojekts der Beschwerdegegnerin, ihr gesamtes Schienennetz mit digitalem Mobilfunk GSM-R auszurüsten. Da die Anlage dem Bahnbetrieb dient, gilt sie als Eisenbahnanlage im Sinne von Art. 18 EBG. Die für den Dienst von Bahnunternehmungen notwendigen Fernmeldeanlagen unterliegen in allen Fällen der Plangenehmigung nach Art. 18-18i EBG (Art. 22 EBG). Die Eisenbahnanlage untersteht somit grundsätzlich der Eisenbahnhoheit des Bundes und nicht dem kommunalen und kantonalen Planungsrecht. Das kantonale Recht ist zu berücksichtigen, soweit es die Bahnunternehmung in der Erfüllung ihrer Aufgaben nicht unverhältnismässig einschränkt (Art. 18 Abs. 4 EBG; BGE 115 Ib 166 E. 3 und E. 4; Urteil des Bundesgerichts 1A.140/2003 vom 18. März 2004 E. 2.5; Benjamin Wittwer, Bewilligung von Mobilfunkanlagen, Zürich 2006, S. 137; Urteil des BVGer A-2422/2008 vom 18. August 2009 E. 4).</w:t>
      </w:r>
    </w:p>
    <w:p>
      <w:r>
        <w:rPr>
          <w:b/>
        </w:rPr>
        <w:t>E. 2.2</w:t>
      </w:r>
    </w:p>
    <w:p>
      <w:r>
        <w:t>Der Immissionsschutz ist bundesrechtlich im Umweltschutzgesetz vom 7. Oktober 1983 (USG, SR 814.01) und den gestützt darauf erlassenen Verordnungen geregelt. Für den Schutz vor schädlicher oder lästiger nichtionisierender Strahlung, die beim Betrieb ortsfester Anlagen erzeugt wird, hat der Bundesrat die NISV erlassen. Diese regelt insbesondere auch die Immissionen von Mobilfunksendeanlagen (vgl. Ziff. 6 Anhang 1 NISV). Die Regelung ist abschliessend und die Anordnung einer weitergehenden vorsorglichen Emmissionsbegrenzung ist unzulässig (BGE 133 II 321 E. 4.3.4, BGE 126 II 399 E. 3c; Aemisegger, a.a.O., S. 3), so dass für das kommunale und kantonale Recht insoweit kein Raum bleibt (Wittwer, a.a.O., S. 91 f.).</w:t>
      </w:r>
    </w:p>
    <w:p>
      <w:r>
        <w:rPr>
          <w:b/>
        </w:rPr>
        <w:t>E. 2.2.1</w:t>
      </w:r>
    </w:p>
    <w:p>
      <w:r>
        <w:t>Gemäss Art. 1 Abs. 2 USG sind im Sinne der Vorsorge Einwirkungen, die schädlich oder lästig werden könnten, frühzeitig zu begrenzen. Luftverunreinigungen, Lärm, Erschütterungen und Strahlen werden durch Massnahmen bei der Quelle begrenzt (Emissionsbegrenzungen, Art. 11 Abs. 1 USG). Unabhängig von der bestehenden Umweltbelastung sind Emissionen im Rahmen der Vorsorge so weit zu begrenzen, als dies technisch und betrieblich möglich und wirtschaftlich tragbar ist (Art. 11 Abs. 2 USG). In Konkretisierung dieser Bestimmung müssen nach Art. 4 Abs. 1 NISV Anlagen so erstellt und betrieben werden, dass sie die in Anhang 1 festgelegten vorsorglichen Emissionsbegrenzungen einhalten. Für die Beurteilung der schädlichen oder lästigen Einwirkungen hat der Bundesrat in der NISV Immissionsgrenzwerte festgelegt (Art. 13 Abs. 1 USG). Während diese Immissionsgrenzwerte nach Anhang 2 überall dort zu beachten sind, wo sich Menschen aufhalten können (Orte für kurzfristigen Aufenthalt [OKA], Art. 13 Abs. 1 NISV), müssen die Anlagegrenzwerte ausschliesslich an Orten mit empfindlicher Nutzung (OMEN) eingehalten werden (Ziff. 65 Anhang 1 NISV). Das Bundesgericht hat die Anlage- und Immissionsgrenzwerte gemäss NISV wiederholt als verfassungs- und gesetzeskonform beurteilt (BGE 126 II 399 E. 3c, Urteil des Bundesgerichts 1A.218/2004 vom 29. November 2005 E. 3, Urteil des Bundesgerichts 1A.129/2006 vom 10. Januar 2007 E. 6 mit Hinweisen). Auch neuere Forschungen hätten keine Evidenz für gesundheitliche Wirkungen von Hochfrequenzstrahlung im Niederfrequenzbereich durch Mobilfunkbasisstationen ergeben. Zwar sei die wissenschaftliche Datenlage für die Beurteilung der Gesundheitsgefährdung der Bevölkerung durch hochfrequente Strahlung im Niedrigdosisbereich, namentlich durch Mobilfunkbasisstationen, noch immer sehr lückenhaft, weshalb Forschungsprogramme besonders wichtig seien. Die bestehenden Wissenslücken rechtfertigten es aber nicht, die Grenzwerte der NISV als rechtswidrig zu beurteilen und den weiteren Bau von Mobilfunkantennen zu verbieten (Urteil des Bundesgerichts 1C_170/2007 vom 20. Februar 2008 E. 2 mit Hinweisen).</w:t>
      </w:r>
    </w:p>
    <w:p>
      <w:r>
        <w:rPr>
          <w:b/>
        </w:rPr>
        <w:t>E. 2.2.2</w:t>
      </w:r>
    </w:p>
    <w:p>
      <w:r>
        <w:t>Entgegen der Auffassung der Beschwerdeführenden sind die Anlage- und Immissionsgrenzwerte der NISV daher als bundesrechtskonform zu betrachten. Den diesbezüglichen Ausführungen der Vorinstanz in der Plangenehmigungsverfügung ist zuzustimmen. Die Grenzwerte genügen denn insofern auch dem individuellen Anspruch des Bürgers auf das Recht auf Leben und die persönliche Freiheit. Im Übrigen ist es in erster Linie Sache der zuständigen Fachbehörden und nicht des Bundesverwaltungsgerichts, die internationale Forschung sowie die technische Entwicklung zu verfolgen und gegebenenfalls eine Anpassung der Grenzwerte der NISV zu beantragen (Urteil des Bundesgerichts 1C_316/2007 vom 30. April 2008 E. 5.1).</w:t>
      </w:r>
    </w:p>
    <w:p>
      <w:r>
        <w:rPr>
          <w:b/>
        </w:rPr>
        <w:t>E. 2.3</w:t>
      </w:r>
    </w:p>
    <w:p>
      <w:r>
        <w:t>Für den Standort Schmitten hat die Beschwerdegegnerin das NIS Standortdatenblatt eingereicht. Diesem können die Strahlungswerte an den (zwei) höchstbelasteten Orten für den kurzfristigen Aufenthalt (Ziff. 4) und die Strahlungswerte an den (neun) höchstbelasteten Orten mit empfindlicher Nutzung (Ziff. 5) entnommen werden. Sowohl die Immissions- wie auch die Anlagegrenzwerte werden eingehalten. Wo der Anlagegrenzwert zu mehr als 80% ausgeschöpft wird, sieht die Plangenehmigung eine Abnahmemessung vor (S. 30/34 Ziff. 3.4).</w:t>
      </w:r>
    </w:p>
    <w:p>
      <w:r>
        <w:rPr>
          <w:b/>
        </w:rPr>
        <w:t>E. 2.3.1</w:t>
      </w:r>
    </w:p>
    <w:p>
      <w:r>
        <w:t>Der Standort der Beschwerdeführenden wird im NIS Standortdatenblatt nicht aufgeführt. In der Plangenehmigung - mit Verweis auf die Stellungnahme der Beschwerdegegnerin vom 16. Juli 2008 zu der Einsprache der Beschwerdeführenden - wird für diesen eine elektrische Feldstärke von 0.47 V/m ausgewiesen. Gemäss NISV Anhang 1 Ziff. 64 Bst. a beträgt der massgebende Anlagegrenzwert für die elektrische Feldstärke von Sendeanlagen für Mobilfunk 4 V/m. Der prognostizierte Wert für die Liegenschaft der Beschwerdeführenden unterschreitet den zulässigen Höchstwert daher fast um das 10-fache. Weder hat die zuständige Fachinstanz (BAFU) die berechneten Werte bemängelt noch sind offensichtliche Mängel oder innere Widersprüche erkennbar. Es sind insbesondere auch keine weiteren Sendeantennen ersichtlich, die in die Beurteilung der gesamten Strahlungswirkung hätten einbezogen werden müssen. Im Lichte dieser Ausführungen ist der projektierte Standort nicht zu beanstanden.</w:t>
      </w:r>
    </w:p>
    <w:p>
      <w:r>
        <w:rPr>
          <w:b/>
        </w:rPr>
        <w:t>E. 3</w:t>
      </w:r>
    </w:p>
    <w:p>
      <w:r>
        <w:t>Die Beschwerdeführenden führen weiter aus, der projektierte Standort beeinträchtige das Orts- und Landschaftsbild in unzumutbarer Weise. Der geplante Antennenstandort befinde sich in einer Mischzone mit Industrie und Wohnen, mitten auf dem Bahnhofgelände. Nordöstlich an das Bahnhofsgelände grenze eine Wohnsiedlung mit ca. 130 Wohneinheiten in einer Distanz von 30 - 400m. Der Antennenmast überrage die umliegenden Gebäude um mindestens 5 - 15 Meter und präge das Ortsbild damit nachteilig. Aufgrund der Hanglage der Wohnsiedlung liege die Antenne im direkten Blickfeld zum Dorfkern von Schmitten.</w:t>
      </w:r>
    </w:p>
    <w:p>
      <w:r>
        <w:rPr>
          <w:b/>
        </w:rPr>
        <w:t>E. 3.1</w:t>
      </w:r>
    </w:p>
    <w:p>
      <w:r>
        <w:t>Die Beschwerdegegnerin begründet den gewählten Standort in unmittelbarer Nähe der Bahnlinie mit den Anforderungen an eine genügende Funkversorgung und damit mit der Betriebssicherheit.</w:t>
      </w:r>
    </w:p>
    <w:p>
      <w:r>
        <w:rPr>
          <w:b/>
        </w:rPr>
        <w:t>E. 3.2</w:t>
      </w:r>
    </w:p>
    <w:p>
      <w:r>
        <w:t>Die Vorinstanz führt in der Plangenehmigung aus, dass neben dem Kanton Fribourg die Gemeinde Schmitten, das ARE, das BAFU und das BAK die umstrittene Bahnfunkanlage hinsichtlich ihrer Auswirkungen auf das Orts- und Landschaftsbild geprüft und dem Bauvorhaben ihre Zustimmung erteilt hätten. Technische Rahmenbedingungen und immissionsrechtliche Anforderungen bedingten, dass Mobilfunkanlagen praktisch an jedem Standort per se etwas Störendes hätten. Als Teil der Verkehrsinfrastruktur gehörten Bahnfunkanlagen grundsätzlich zum Ortsbild.</w:t>
      </w:r>
    </w:p>
    <w:p>
      <w:r>
        <w:rPr>
          <w:b/>
        </w:rPr>
        <w:t>E. 3.3</w:t>
      </w:r>
    </w:p>
    <w:p>
      <w:r>
        <w:t>Die eisenbahnrechtliche Plangenehmigung stellt eine Bundesaufgabe im Sinne von Art. 2 Abs. 1 Bst. a des Bundesgesetzes vom 1. Juli 1966 über den Natur- und Heimatschutz (NHG, SR 451) dar. Nach Art. 3 NHG sorgen u.a. der Bund sowie die Kantone bei der Erfüllung von Bundesaufgaben dafür, dass das heimatliche Landschafts- und Ortsbild geschont werden und, wo das allgemeine Interesse an ihnen überwiegt, ungeschmälert erhalten bleiben (Abs. 1). Sie erfüllen diese Pflicht u.a., indem sie eigene Bauten und Anlagen entsprechend gestalten und unterhalten oder gänzlich auf ihre Einrichtung verzichten (Abs. 2 Bst. a). Die Pflicht zur Schonung des heimatlichen Orts- und Landschaftsbildes gilt unabhängig davon, ob ein Objekt von nationaler, regionaler oder lokaler Bedeutung betroffen ist (Abs. 3 i.V.m. Art. 4 NHG). Das Gebot der ungeschmälerten Erhaltung beschränkt sich dagegen im Wesentlichen auf Objekte von nationaler Bedeutung (Art. 6 NHG).</w:t>
      </w:r>
    </w:p>
    <w:p>
      <w:r>
        <w:rPr>
          <w:b/>
        </w:rPr>
        <w:t>E. 3.4</w:t>
      </w:r>
    </w:p>
    <w:p>
      <w:r>
        <w:t>Da vorliegend kein Objekt eines Bundesinventars nach Art. 4 f. NHG betroffen ist, sind die Auswirkungen auf die Landschaft und das Ortsbild nach Art. 3 NHG zu beurteilen.</w:t>
      </w:r>
    </w:p>
    <w:p>
      <w:r>
        <w:rPr>
          <w:b/>
        </w:rPr>
        <w:t>E. 3.5</w:t>
      </w:r>
    </w:p>
    <w:p>
      <w:r>
        <w:t>Die Beschwerdeführenden führen hauptsächlich ein eigenes, damit privates Interesse an, nämlich den ungetrübten Ausblick auf den Dorfkern der Gemeinde Schmitten. Inwiefern dieser überhaupt als Kriterium für den Schutz des Orts- und Landschaftsbildes massgebend ist, kann bezweifelt, letztlich aber aufgrund der nachfolgenden Erwägungen offen gelassen werden.</w:t>
      </w:r>
    </w:p>
    <w:p>
      <w:r>
        <w:rPr>
          <w:b/>
        </w:rPr>
        <w:t>E. 3.6</w:t>
      </w:r>
    </w:p>
    <w:p>
      <w:r>
        <w:t>Zwar ist das Interesse der Beschwerdeführenden an einem unverfälschten Ausblick auf den Dorfkern von Schmitten nachvollziehbar, doch erscheint der projektierte Standort geeignet. Er befindet sich unmittelbar an der Bahnlinie, der die Bahnfunkanlage dienen soll, und auf dem Gebiet der Beschwerdegegnerin. Beilage 1 der Replik lässt zudem erkennen, dass hinter dem geplanten Standort, über den Geleisen, ein industriell genutzt anmutender Komplex von nicht wesentlich geringerer Grösse als derjenigen des Dennergebäudes den Blick der Wohnsiedlung zum Dorfkern der Gemeinde Schmitten erschwert. Weiter ist aus Beilage 2, Foto 3, der Replik ersichtlich, dass die Bahnlinie mit Fahrleitungen "überdacht" ist. Diese beschränken den bereits getrübten Blick auf den Dorfkern ebenfalls. Insofern kann nicht davon ausgegangen werden, dass die Bahnfunkanlage völlig deplatziert und in einem unerträglichen Masse störend wirkt. Zudem steht sie auf dem Bahnhofgelände, wo eine dem Bahnbetrieb dienende Anlage grundsätzlich auch hingehört. Dass eine Bahnfunkanlage über eine gewisse Höhe verfügen muss, um ihre Funktion erfüllen zu können, liegt im Weiteren auf der Hand. Wie andere Mobilfunkanlagen sind Bahnfunkantennen daher zwangsläufig aus der Ferne sichtbar und gehören grundsätzlich zum Ortsbild (Entscheid des Bundesgerichts 1A.6/2007 vom 6. September 2007 E. 4.3). Nicht nur die Vorinstanz, sondern auch das Bundesverwaltungsgericht setzt sich im Weiteren nicht leichthin über die Zustimmungen der Fachinstanzen (ARE und BAFU) und der übrigen Verfahrensbeteiligten zum projektierten Standort im erstinstanzlichen Verfahren hinweg. Im Übrigen überragen mindestens fünf der geplanten zwölf neuen Bahnfunkanlagen auf der Strecke Fribourg - Bern den fraglichen Masten um drei bis neun Meter (25 - 31m). Mit 22 Metern fällt dieser daher zwar hoch, im Vergleich mit den anderen Bahnfunkanlagen auf der Strecke Fribourg - Bern aber eher durchschnittlich aus.</w:t>
      </w:r>
    </w:p>
    <w:p>
      <w:r>
        <w:rPr>
          <w:b/>
        </w:rPr>
        <w:t>E. 3.7</w:t>
      </w:r>
    </w:p>
    <w:p>
      <w:r>
        <w:t>Die Beschwerdeführenden halten dafür, dass die Antenne an einem besser geeigneten und von der Wohnzone weiter entfernten Standort errichtet werden soll. Sie schlagen daher in ihrer Replik den Standort unmittelbar beim Dennergebäude vor (vgl. Replikbeilage 1).</w:t>
      </w:r>
    </w:p>
    <w:p>
      <w:r>
        <w:rPr>
          <w:b/>
        </w:rPr>
        <w:t>E. 3.8</w:t>
      </w:r>
    </w:p>
    <w:p>
      <w:r>
        <w:t>Die Vorinstanz hat im vorinstanzlichen Verfahren keine konkreten Alternativstandorte geprüft, gestützt auf die Stellungnahmen der Verfahrensbeteiligten und der verschiedenen Fachbehörden aber die Interessen der Beschwerdegegnerin am projektierten Standort höher gewichtet als diejenigen der Beschwerdeführenden.</w:t>
      </w:r>
    </w:p>
    <w:p>
      <w:r>
        <w:rPr>
          <w:b/>
        </w:rPr>
        <w:t>E. 3.9</w:t>
      </w:r>
    </w:p>
    <w:p>
      <w:r>
        <w:t>Das ARE führt hierzu in grundsätzlicher Weise aus, dass, sollte der Antennenstandort innerhalb der Bauzone weiter weg von Wohn- und näher zu Industriebauten verschoben werden können, dies tendenziell als Vorteil aus der Sicht der Raumplanung anzusehen wäre.</w:t>
      </w:r>
    </w:p>
    <w:p>
      <w:r>
        <w:rPr>
          <w:b/>
        </w:rPr>
        <w:t>E. 3.10</w:t>
      </w:r>
    </w:p>
    <w:p>
      <w:r>
        <w:t>Beide Standorte befinden sich in der Bauzone, unmittelbar an der Bahnlinie und tragen daher dem Schonungsgebot nach Art. 3 NHG Rechnung. Sowohl am einen wie auch am anderen Standort überragt der Masten die umliegenden Bauten um mehrere Meter. Zuzustimmen ist den Beschwerdeführenden insofern, als dass sich der Masten auf dem Alternativstandort stärker in das industrielle Umfeld einbettet. Wie den Erwägungen unter Ziffer 3.6 aber zu entnehmen ist, dürfte dieser Unterschied indes nur gering sein. Grosser Nachteil des angebotenen Alternativstandortes ist, dass das betreffende Land nicht der Beschwerdegegnerin gehört, mithin ein Dritter enteignet werden müsste. Hierbei würde sich weiter die Frage stellen, inwieweit die Beschwerdegegnerin überhaupt auf diesen Standort angewiesen ist, da, wie vorstehend ausgeführt, der projektierte Standort geeignet ist und die gesetzlichen Bestimmungen einhält. Nach Art. 1 Abs. 2 des Bundesgesetzes vom 20. Juni 1930 über die Enteignung (EntG, SR 711) kann das Enteignungsrecht denn auch nur geltend gemacht werden, wenn und soweit es zur Erreichung des Zweckes notwendig ist. Zudem müsste für die Sendeanlage ein geeigneter Platz gefunden und wahrscheinlich ein entsprechender Technikcontainer gebaut werden, wohingegen beim projektierten Standort eine entsprechende Vorrichtung - ein Telecom-Raum - zur Verfügung steht. Sowohl die Enteignung wie auch der Bau einer solchen Vorrichtung würden zusätzliche, nicht zwingend notwendige Kosten für die Beschwerdegegnerin verursachen.</w:t>
      </w:r>
    </w:p>
    <w:p>
      <w:r>
        <w:rPr>
          <w:b/>
        </w:rPr>
        <w:t>E. 3.11</w:t>
      </w:r>
    </w:p>
    <w:p>
      <w:r>
        <w:t>Die Empfehlung des ARE, wonach der Standort weiter weg von Wohn- und näher zu Industriebauten zu verschieben sei, muss denn auch im Lichte dieser Interessensabwägung gesehen und relativiert werden. Die Empfehlung beschränkt sich auf die raumplanerischen Aspekte. Eine Interessenabwägung erfolgt aber umfassend, d.h. sämtliche (berechtigten) Interessen sind zu berücksichtigen. Konkret überwiegen die Interessen der Beschwerdegegnerin. Einerseits wird mit dem projektierten Standort dem Gebot nach Art. 3 NHG Genüge getan, andererseits rechtfertigt es das Interesse der Beschwerdeführenden an einer besseren Aussicht nicht, dem angebotenen Alternativstandort den Vorzug zu geben. Der Antrag der Beschwerdeführerin, wonach die Antenne an einem besser geeigneten und von der Wohnzone weiter entfernten Standort errichtet werden soll, ist demnach abzuweisen.</w:t>
      </w:r>
    </w:p>
    <w:p>
      <w:r>
        <w:rPr>
          <w:b/>
        </w:rPr>
        <w:t>E. 4</w:t>
      </w:r>
    </w:p>
    <w:p>
      <w:r>
        <w:t>Die Beschwerdeführenden bemängeln weiter, die Publikation des vorliegenden Projekts sei irreführend gewesen und habe einen falschen Eindruck erweckt.</w:t>
      </w:r>
    </w:p>
    <w:p>
      <w:r>
        <w:rPr>
          <w:b/>
        </w:rPr>
        <w:t>E. 4.1</w:t>
      </w:r>
    </w:p>
    <w:p>
      <w:r>
        <w:t>Hiergegen bringt insbesondere die Vorinstanz vor, das Projekt sei ordentlich publiziert, ausgesteckt und im Plandossier hinreichend detailliert beschrieben worden.</w:t>
      </w:r>
    </w:p>
    <w:p>
      <w:r>
        <w:rPr>
          <w:b/>
        </w:rPr>
        <w:t>E. 4.2</w:t>
      </w:r>
    </w:p>
    <w:p>
      <w:r>
        <w:t>Nach Art. 18b ff. EBG ist das Plangenehmigungsgesuch mit den erforderlichen Unterlagen bei der Genehmigungsbehörde einzureichen. Es hat alle Angaben zu enthalten, die für die Beurteilung des Projekts notwendig sind, wie z.B. Technischer Bericht mit Begründung des Vorhabens, Übersichtsplan, Situationsplan und Sicherheitsbericht (Art. 3 der Verordnung über das Plangenehmigungsverfahren für Eisenbahnanlagen [VPVE, SR 742.142.1]). Vor der öffentlichen Auflage des Gesuchs muss die Bahnunternehmung die Veränderungen, die das geplante Werk im Gelände bewirkt, sichtbar machen, indem sie diese aussteckt; bei Hochbauten hat sie Profile aufzustellen (vgl. Art. 4 VPVE). Das Gesuch ist in den amtlichen Publikationsorganen der betroffenen Kantone und Gemeinden zu publizieren und während 30 Tagen öffentlich aufzulegen.</w:t>
      </w:r>
    </w:p>
    <w:p>
      <w:r>
        <w:rPr>
          <w:b/>
        </w:rPr>
        <w:t>E. 4.2.1</w:t>
      </w:r>
    </w:p>
    <w:p>
      <w:r>
        <w:t>Aufgrund von Seite 165 ff. der Vorakten ("pour publication dans la feuille officielle du canton de Fribourg du vendredi 1er février 2008") und den Bildern unter der Rubrik 9 "Fotos/Diverses" sowie des Inhaltsverzeichnisses des Plandossiers ist davon auszugehen, dass das Gesuch der Beschwerdegegnerin vollständig eingereicht, das Projekt ordnungsgemäss ausgesteckt, publiziert und öffentlich aufgelegt worden ist. Seite 165 der Vorakten ist insbesondere zu entnehmen, dass am Standort Schmitten der Bau einer neuen Funkanlage mit zwei GSM-R-Antennen am 22m hohen Masten geplant ist. Die Sendeanlage soll im bestehenden SBB-Gebäude installiert werden.</w:t>
      </w:r>
    </w:p>
    <w:p>
      <w:r>
        <w:rPr>
          <w:b/>
        </w:rPr>
        <w:t>E. 4.2.2</w:t>
      </w:r>
    </w:p>
    <w:p>
      <w:r>
        <w:t>Diese (öffentlich aufgelegten) Informationen lassen den Schluss zu, dass der (durchschnittliche) Bürger nicht von einem falschen Bild des Projekts in die Irre geführt wurde. Sie ermöglichen allenfalls betroffenen Anwohnern oder Grundeigentümern ohne Weiteres, ihre Einsprache hinreichend zu begründen. Inwiefern eine erneute Publikation mit der Bezeichnung "Mobilfunksender GSM-Rail" unter Angabe der Sendeleistung und des Einspracheradius aufschlussreicher sein sollte als die im Plangenehmigungsverfahren erfolgte Publikation, ist nicht ersichtlich. Die Rüge der Beschwerdeführenden ist daher unbegründet.</w:t>
      </w:r>
    </w:p>
    <w:p>
      <w:r>
        <w:rPr>
          <w:b/>
        </w:rPr>
        <w:t>E. 5</w:t>
      </w:r>
    </w:p>
    <w:p>
      <w:r>
        <w:t>Die Beschwerde ist aus diesen Gründen insgesamt abzuweisen.</w:t>
      </w:r>
    </w:p>
    <w:p>
      <w:r>
        <w:rPr>
          <w:b/>
        </w:rPr>
        <w:t>E. 6.1</w:t>
      </w:r>
    </w:p>
    <w:p>
      <w:r>
        <w:t>Die spezialgesetzliche Kostenfolge nach Art. 114 ff. des Bundesgesetzes vom 20. Juni 1930 über die Enteignung (EntG, SR 711) findet vorliegend keine Anwendung, weil die Beschwerdeführenden ihr Entschädigungsgesuch beim Bundesverwaltungsgericht zurückgezogen haben und damit keine enteignungsrechtlichen Ansprüche zu beurteilen waren. Die Kostenfolge richtet sich daher nach den allgemeinen Grundsätzen des VwVG.</w:t>
      </w:r>
    </w:p>
    <w:p>
      <w:r>
        <w:rPr>
          <w:b/>
        </w:rPr>
        <w:t>E. 6.2</w:t>
      </w:r>
    </w:p>
    <w:p>
      <w:r>
        <w:t>Die Beschwerdeführenden sind im Beschwerdeverfahren mit keinem ihrer Rechtsbegehren durchgedrungen; sie gelten somit als unterliegend und haben gemäss Art. 63 Abs. 1 VwVG die gesamten Verfahrenskosten zu tragen. Diese werden auf Fr. 1'500.-- bestimmt. Darin eingeschlossen sind insbesondere auch die Kosten für den Erlass der Zwischenverfügung für den Entzug der aufschiebenden Wirkung. Der Betrag wird mit dem Kostenvorschuss in derselben Höhe verrechnet.</w:t>
      </w:r>
    </w:p>
    <w:p>
      <w:r>
        <w:rPr>
          <w:b/>
        </w:rPr>
        <w:t>E. 6.3</w:t>
      </w:r>
    </w:p>
    <w:p>
      <w:r>
        <w:t>Angesichts ihres Unterliegens ist den anwaltlich vertretenen Beschwerdeführenden keine Parteientschädigung zuzusprechen (Art. 64 VwVG i.V.m. Art. 7 des Reglements vom 21. Februar 2008 über die Kosten und Entschädigungen vor dem Bundesverwaltungsgericht (VGKE, SR 173.320.2). Die Vorinstanz hat gemäss Art. 7 Abs. 3 VGKE keinen Anspruch auf eine Parteientschädigung. Da sich die obsiegende Beschwerdegegnerin nicht anwaltlich vertreten liess und ihr deshalb keine Kosten im Sinne von Art. 64 Abs. 1 VwVG entstanden sind, steht auch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