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A-910/2014 vom 6. März 2015</w:t>
      </w:r>
    </w:p>
    <w:p>
      <w:r>
        <w:t>Bundesverwaltungsgericht, 2015-03-06, DE</w:t>
      </w:r>
    </w:p>
    <w:p>
      <w:r>
        <w:rPr>
          <w:b/>
        </w:rPr>
        <w:t xml:space="preserve">Quelle: </w:t>
      </w:r>
      <w:r>
        <w:t>https://mcp.opencaselaw.ch/entscheid/bvger_A-910_2014</w:t>
      </w:r>
    </w:p>
    <w:p>
      <w:r>
        <w:t>FR: TAF A-910/2014 du 6 mars 2015</w:t>
      </w:r>
    </w:p>
    <w:p>
      <w:r>
        <w:t>IT: TAF A-910/2014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StromVG und seiner Ausführungsbestimmungen betreffen, eine umfassende Entscheidkompetenz zu (vgl. Art. 22 Abs. 1 und 2 StromVG; Urteil des Bundesverwaltungsgerichts A-3343/2013 vom 10. Dezember 2013 E. 1.1.2.4 f.). Mit der angefochtenen Verfügung entschied sie über eine Frage, die daraus resultierte, dass die Beschwerdeführerin der Beschwerdegegnerin ITC-Mindererlöszahlungen entrichtete, die diese gestützt auf Dispositivziffer 12 der Verfügung der Vorinstanz vom 4. März 2010 (vgl. Bst. A) und die (verfassungs- und gesetzeswidrige) Regelung von Art. 14 Abs. 3 letzter Satz in Verbindung mit Art. 15 Abs. 1 Bst. c erster Satz StromVV von ihr verlangte. Sie war entsprechend zum Erlass der Verfügung befugt. Das Bundesverwaltungsgericht ist somit für die Beurteilung der vorliegenden Beschwerde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beteiligte sich am vorinstanzlichen Verfahren, drang mit ihren Rechtsbegehren jedoch nur teilweise durch. Sie ist somit formell und materiell beschwert und ohne Weiteres zur Beschwerde legitimiert.</w:t>
      </w:r>
    </w:p>
    <w:p>
      <w:r>
        <w:rPr>
          <w:b/>
        </w:rPr>
        <w:t>E. 1.3</w:t>
      </w:r>
    </w:p>
    <w:p>
      <w:r>
        <w:t>Die Beschwerde wurde im Weiteren frist- und formgerecht eingereicht (vgl. Art. 50 Abs. 1 und Art. 52 Abs. 1 VwVG), weshalb darauf einzutreten ist.</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w:t>
      </w:r>
    </w:p>
    <w:p>
      <w:r>
        <w:rPr>
          <w:b/>
        </w:rPr>
        <w:t>E. 3</w:t>
      </w:r>
    </w:p>
    <w:p>
      <w:r>
        <w:t>Wie erwähnt (vgl. Bst. G-I), ist vorliegend im Wesentlichen streitig, ob die Beschwerdegegnerin bereits im Zeitpunkt der ITC-Mindererlöszahlungen der Beschwerdeführerin in Verzug geriet und daher ab diesem Zeitpunkt bis zu dem von der Vorinstanz für den Verzugseintritt als massgeblich erachteten späteren Zeitpunkt, das heisst dem 12. Oktober 2011, zusätzliche Verzugszinsen von 5 % zu entrichten hat. Streitig ist überdies die Verlegung der Kosten des vorinstanzlichen Verfahrens.</w:t>
      </w:r>
    </w:p>
    <w:p>
      <w:r>
        <w:rPr>
          <w:b/>
        </w:rPr>
        <w:t>E. 3.1</w:t>
      </w:r>
    </w:p>
    <w:p>
      <w:r>
        <w:t>Die Beschwerdeführerin bringt zugunsten des Verzugseintritts im Zeitpunkt der Entrichtung der ITC-Mindererlöszahlungen vor, das Bundesgericht habe in BGE 95 I 258 festgehalten, eine Zahlung unter Vorbehalt der Rückerforderung der zu viel bezahlten Summe sei als Mahnung zu betrachten, die den zur Rückzahlung verpflichteten Schuldner in Verzug setze. Dies müsse auch im vorliegenden Fall gelten, habe sie doch die Rechtmässigkeit der von der Beschwerdegegnerin geltend gemachten Forderungen von Anfang an bestritten und sich die Rückforderung der Zahlungen vorbehalten, die sie nur geleistet habe, um mögliche folgenreiche Sanktionen der Beschwerdegegnerin zu vermeiden. Da der Rückzahlungsvorbehalt stets in Situationen erklärt werde, in denen die Begründetheit von Forderung bzw. Rückforderung für beide Seiten erkennbar streitig sei, wäre es widersinnig und treuwidrig, wenn der unter Vorbehalt Zahlende im Zahlungszeitpunkt zusätzlich und explizit die sofortige Rückerstattung verlangen müsste, um seinen Anspruch auf einen Verzugszins zu sichern. Nach Treu und Glauben sei vielmehr davon auszugehen, er verlange bereits mit dem Rückforderungsvorbehalt in unmissverständlicher Weise die Rückerstattung des gesamten entrichteten Betrags.</w:t>
      </w:r>
    </w:p>
    <w:p>
      <w:r>
        <w:rPr>
          <w:b/>
        </w:rPr>
        <w:t>E. 3.2</w:t>
      </w:r>
    </w:p>
    <w:p>
      <w:r>
        <w:t>Die Beschwerdegegnerin macht geltend, die Beschwerdeführerin könne aus BGE 95 I 258 nichts zu ihren Gunsten ableiten, da der vorliegend zu beurteilende Sachverhalt anders gelagert sei. Sie sei ihr gegenüber nicht verfügungsberechtigt gewesen, sondern habe mit der Rechnungsstellung für die ITC-Mindererlöszahlungen lediglich Dispositivziffer 12 der Verfügung der Vorinstanz vom 4. März 2010 vollzogen, mit der diese die Kostentragungspflicht für ITC-Mindererlöse geregelt habe. Die Zahlungen unter Vorbehalt der Beschwerdeführerin vermöchten daher ihre Verzugszinspflicht nicht zu begründen.</w:t>
      </w:r>
    </w:p>
    <w:p>
      <w:r>
        <w:rPr>
          <w:b/>
        </w:rPr>
        <w:t>E. 3.3</w:t>
      </w:r>
    </w:p>
    <w:p>
      <w:r>
        <w:t>Die Vorinstanz führt in der angefochtenen Verfügung aus, der von der Beschwerdeführerin zitierte Bundesgerichtsentscheid sei vor über 40 Jahren ergangen. Es handle sich um einen Einzelfallentscheid in einem spezifischen Normenbereich, der vom Bundesgericht für andere Bereiche bislang nicht bestätigt worden sei. Eine konstante bundesgerichtliche Praxis, die den Beginn des Zinsenlaufs in einer Konstellation wie der vorliegenden im Sinne der 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3.4.1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w:t>
      </w:r>
    </w:p>
    <w:p>
      <w:r>
        <w:rPr>
          <w:b/>
        </w:rPr>
        <w:t>E. 3.4.2</w:t>
      </w:r>
    </w:p>
    <w:p>
      <w:r>
        <w:t>Dies gilt umso mehr, als diese Qualifikation, wie die Vorinstanz ebenfalls zu Recht vorbringt, nur schwer mit den in Lehre und Rechtsprechung genannten Anforderungen an eine Mahnung im Sinne von Art. 102 Abs. 1 OR vereinbar ist, wie sie mangels einer spezifischen Regelung im Stromversorgungsrecht grundsätzlich auch im vorliegenden Fall gelten (vgl. Urteile des Bundesverwaltungsgerichts A-2483/2013 vom 17. März 2014 E. 2.5.3 m.w.H. und A-2619/2009 vom 29. November 2011 E. 5; Wolfgang Wiegand, in: Basler Kommentar OR I, 5. Aufl. 2011, Art. 102 N. 2). Danach muss aus der Mahnung insbesondere in unmissverständlicher Weise hervorgehen, dass der Gläubiger vom Schuldner die unverzügliche Erbringung der fälligen Leistung fordert (vgl. BGE 129 III 535 E. 3.2.2; Wiegand, a.a.O., Art. 102 N. 5; Ingeborg Schwenzer, Schweizerisches Obligationenrecht, Allgemeiner Teil, 6. Aufl. 2012, Rz. 65.08). Dies ist bei Erklärungen, mit denen für den Fall eines für den Zahlenden günstigen künftigen Urteils eine Rückforderung der Zahlung vorbehalten wird, jedoch gerade nicht so, und zwar entgegen der Ansicht der Beschwerdeführerin auch nicht bei einer Auslegung derartiger Erklärungen nach dem Vertrauensprinzip (vgl. dazu Gauch/Schluep/Schmid/Emmen-egger, Schweizerisches Obligationenrecht, Allgemeiner Teil, Band I, 10. Aufl. 2014, Rz. 205a ff.).</w:t>
      </w:r>
    </w:p>
    <w:p>
      <w:r>
        <w:rPr>
          <w:b/>
        </w:rPr>
        <w:t>E. 3.4.3</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Zwar ergab sich die grundsätzliche Pflicht der Beschwerdeführerin zur Bezahlung der ITC-Mindererlösrechnungen der Beschwerdegegnerin aus Dispositivziffer 12 der Verfügung der Vorinstanz vom 4. März 2010 und Art. 14 Abs. 3 letzter Satz in Verbindung mit Art. 15 Abs. 1 Bst. c erster Satz StromVV, mithin aus öffentlich-rechtlichen Vorgaben. Zwischen den beiden Parteien bestand hinsichtlich der (vermeintlichen) Kostentragungspflicht für ITC-Mindererlöse bzw. der entsprechenden Zahlungen jedoch kein Subordinations- resp. kein abgaberechtliches Verhältnis. Die Beschwerdegegnerin war gegenüber der 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Angesichts dessen sind die von der Beschwerdeführerin geleisteten ITC-Minderlöszahlungen nicht mit der Leistung des Beschwerdeführers in BGE 95 I 258 an die Veranlagungsbehörde zu vergleichen. Sie könnten deshalb auch nicht dieser Rechtsprechung unterstellt werden, hätte dies doch zur Folge, dass die Beschwerdegegnerin wie eine Steuer- oder Veranlagungsbehörde bzw. wie eine hoheitlich handelnde Leistungsempfängerin behandelt würde, obschon sie dies gerade nicht ist.</w:t>
      </w:r>
    </w:p>
    <w:p>
      <w:r>
        <w:rPr>
          <w:b/>
        </w:rPr>
        <w:t>E. 3.4.4</w:t>
      </w:r>
    </w:p>
    <w:p>
      <w:r>
        <w:t>Soweit die Beschwerdeführerin unter Verweis auf BGE 95 I 258 vorbringt, ihre Vorbehalte seien als Mahnungen zu qualifizieren, die die Beschwerdegegnerin im Zeitpunkt der Entrichtung der ITC-Mindererlös-zahlungen in Verzug setzten, erweist sich dies demnach als unzutreffend. Es bleibt somit beim Zeitpunkt, den die Vorinstanz in der angefochtenen Verfügung für den Eintritt des Verzugs als massgeblich erachtete, ist doch unbestritten, dass die Beschwerdegegnerin ab diesem Zeitpunkt einen Verzugszins von 5 % zu entrichten hatte. Dispositivziffer 1 der angefochtenen Verfügung ist daher zu bestätigen. Es besteht entsprechend kein Anlass, die Kosten des vorinstanzlichen Verfahrens neu zu verlegen, weshalb auch Dispositivziffer 4 der angefochtenen Verfügung zu bestätigen ist. Damit erweist sich die Beschwerde als unbegründet; sie ist folglich abzuweisen.</w:t>
      </w:r>
    </w:p>
    <w:p>
      <w:r>
        <w:rPr>
          <w:b/>
        </w:rPr>
        <w:t>E. 4.1</w:t>
      </w:r>
    </w:p>
    <w:p>
      <w:r>
        <w:t>Bei diesem Verfahrensausgang gilt die Beschwerdeführerin als unterliegend. Sie hat deshalb die auf Fr. 3'500.- festzusetzenden Verfahrenskosten (vgl. Art. 1 ff. des Reglements vom 21. Februar 2008 über die Kosten und Entschädigungen vor dem Bundesverwaltungsgericht [VGKE, SR 173.320.2]) zu tragen (vgl. Art. 63 Abs. 1 VwVG; Art. 6a VGKE). Der einbezahlte Kostenvorschuss wird zur Bezahlung der Verfahrenskosten verwendet.</w:t>
      </w:r>
    </w:p>
    <w:p>
      <w:r>
        <w:rPr>
          <w:b/>
        </w:rPr>
        <w:t>E. 4.2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