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A-908/2016 vom 9. November 2016</w:t>
      </w:r>
    </w:p>
    <w:p>
      <w:r>
        <w:t>Bundesverwaltungsgericht, 2016-11-09, FR</w:t>
      </w:r>
    </w:p>
    <w:p>
      <w:r>
        <w:rPr>
          <w:b/>
        </w:rPr>
        <w:t xml:space="preserve">Quelle: </w:t>
      </w:r>
      <w:r>
        <w:t>https://mcp.opencaselaw.ch/entscheid/bvger_A-908_2016</w:t>
      </w:r>
    </w:p>
    <w:p>
      <w:r>
        <w:t>FR: TAF A-908/2016 du 9 novembre 2016</w:t>
      </w:r>
    </w:p>
    <w:p>
      <w:r>
        <w:t>IT: TAF A-908/2016 del 9 novembre 2016</w:t>
      </w:r>
    </w:p>
    <w:p>
      <w:pPr>
        <w:pStyle w:val="Heading2"/>
      </w:pPr>
      <w:r>
        <w:t>Regeste</w:t>
      </w:r>
    </w:p>
    <w:p>
      <w:r>
        <w:t>Installations intérieures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d'Electrosuisse (anciennement Association suisse des électriciens [ASE]) soumis à la surveillance du Département fédéral de l'environnement, des transports, de l'énergie et de la communication (DETEC), est l'autorité de contrôle désignée par le Conseil fédéral au sens du chiffre 2 de cette disposition (cf. art. 1 de l'ordonnance du 7 décembre 1992 sur l'ESTI [OIFICF, RS 734.24]). Sa décision du 12 janvier 2016 satisfait aux conditions posées par l'art. 5 al. 1 PA et n'entre pas dans le champ d'exclusion de l'art. 32 LTAF. Partant, le Tribunal administratif fédéral est compétent pour connaître du présent litige.</w:t>
      </w:r>
    </w:p>
    <w:p>
      <w:r>
        <w:rPr>
          <w:b/>
        </w:rPr>
        <w:t>E. 1.2</w:t>
      </w:r>
    </w:p>
    <w:p>
      <w:r>
        <w:t>Déposé en temps utile par le destinataire de la décision attaquée (art. 22 ss, 48 et 50 PA), le recours répond au surplus aux exigences de forme et de contenu prévues à l'art. 52 PA. Il est donc recevable.</w:t>
      </w:r>
    </w:p>
    <w:p>
      <w:r>
        <w:rPr>
          <w:b/>
        </w:rPr>
        <w:t>E. 1.3</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notamment en apportant les éléments en leur possession permettant d'établir la preuve des faits dont elles se prévalent (cf. ATF 132 III 731 consid. 3.5; ATAF 2014/24 consid. 2.2) et motiver leur recours (art. 52 PA).</w:t>
      </w:r>
    </w:p>
    <w:p>
      <w:r>
        <w:rPr>
          <w:b/>
        </w:rPr>
        <w:t>E. 2</w:t>
      </w:r>
    </w:p>
    <w:p>
      <w:r>
        <w:t>En l'espèce, l'objet du litige revient à déterminer si la décision attaquée est conforme au droit, en ce sens que la recourante était tenue de fournir un rapport de sécurité dans les délais impartis à l'autorité inférieure dont elle a fait défaut.</w:t>
      </w:r>
    </w:p>
    <w:p>
      <w:r>
        <w:rPr>
          <w:b/>
        </w:rPr>
        <w:t>E. 2.1</w:t>
      </w:r>
    </w:p>
    <w:p>
      <w:r>
        <w:t>Selon l'art. 20 al.1 LIE, la surveillance des installations électriques et de leur bon état d'entretien incombe à leur exploitant (propriétaire, locataire, etc.). Le Conseil fédéral ayant le mandat d'édicter des prescriptions en vue de prévenir les dangers et dommages causés par les installations (art. 3 al. 1 LIE), il a adopté l'ordonnance du 7 novembre 2001 sur les installations électriques à basse tension (OIBT, RS 734.27), qui a fait l'objet d'une modification en date du 20 avril 2016. Le Tribunal retient toutefois qu'il importe peu de savoir - sous l'angle du droit intertemporel - quelle version de ladite ordonnance est applicable au cas d'espèce, étant souligné que l'ordonnance en question n'a fait l'objet d'aucune modification substantielle relative aux dispositions pertinentes pour la résolution du cas d'espèce (cf. à ce sujet l'arrêt du Tribunal administratif fédéral A-316/2016 du 13 septembre 2016 consid. 4). A teneur de l'art. 3 al. 1 OIBT,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L'art. 4 al. 1 OIBT prévoit que les installations électriques doivent, sauf difficultés extraordinaires, être établies, modifiées et entretenues de façon à ne pas perturber exagérément l'utilisation correcte d'autres installations électriques, de matériels électriques et d'installations à courant.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cf. art. 36 OIBT et l'annexe à l'OIBT, ch. 2 let. d). 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 cf. arrêt du Tribunal fédéral 2C_1/2009 du 11 septembre 2009 consid. 4.3.2 ; arrêt du Tribunal administratif fédéral A-316/2016 du 13 septembre 2016 consid. 4.1)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 Ladite demande et les deux rappels constituent une condition préalable pour que l'exploitant de réseau puisse saisir l'ESTI afin de lui confier l'exécution du contrôle périodique (cf. notamment : arrêts du Tribunal administratif fédéral A-3127/2015 du 18 août 2015 consid. 5, A-507/2014 du 22 juillet 2014 consid. 5, A-2470/2010 du 20 juillet 2010 consid. 5.2).</w:t>
      </w:r>
    </w:p>
    <w:p>
      <w:r>
        <w:rPr>
          <w:b/>
        </w:rPr>
        <w:t>E. 2.2</w:t>
      </w:r>
    </w:p>
    <w:p>
      <w:r>
        <w:t>En l'espèce, il ressort du dossier que la condition préalable nécessaire pour que l'exploitant de réseau puisse transmettre l'exécution du contrôle périodique à l'ESTI, à savoir la demande et les deux rappels, n'est pas remplie. L'exploitant de réseau, ainsi que l'autorité inférieure considèrent certes que la prolongation de deux ans pour transmettre le rapport de sécurité accordée par l'exploitant de réseau en date du 13 décembre 2012 (cf. pièce n.10 produite par l'autorité inférieure à l'appui de sa réponse au recours) équivaut au premier rappel formel. Cela étant, force est d'abord de constater que, conformément à l'art. 36 al. 3 OIBT, l'exploitant de réseau ne pouvait accorder une prolongation de deux ans, mais bien au maximum un délai d'une année. Par ailleurs, cette prolongation a été accordée à la suite d'une requête effectuée par la recourante lors de la communication de la demande du 13 mars 2012 d'effectuer le contrôle périodique des installations électriques (cf. pièce n.12 produite par l'autorité inférieure à l'appui de sa réponse au recours). Ainsi, la recourante n'avait, à cette période, pas omis de fournir le rapport de sécurité, mais avait uniquement requis une prolongation de délai, justifiée par le fait que le bâtiment était voué à une démolition prochaine. De ce fait, la prolongation accordée par l'exploitant de réseau ne pouvait être assimilée à un premier rappel au sens de l'art. 36 OIBT. Compte tenu des éléments qui précèdent, il y a donc lieu de considérer le rappel du 11 mars 2015 (cf. pièce n.10 produite par l'autorité inférieure à l'appui de sa réponse au recours) comme étant le premier rappel et non le second. Enfin, il sied de constater que ces considérations sont implicitement admises par l'exploitant de réseau qui a souligné, dans son courriel du 7 avril 2016, n'avoir pas envoyé les deux rappels nécessaires (cf. pièce n. 12 produite par l'autorité inférieure à l'appui de sa réponse au recours).</w:t>
      </w:r>
    </w:p>
    <w:p>
      <w:r>
        <w:rPr>
          <w:b/>
        </w:rPr>
        <w:t>E. 2.3</w:t>
      </w:r>
    </w:p>
    <w:p>
      <w:r>
        <w:t>Il s'ensuit qu'au jour du prononcé de la décision, l'exploitant de réseau ne s'était pas acquitté de son devoir de transmettre la demande, ainsi que les deux rappels, avant de confier l'exécution du contrôle périodique à l'ESTI. Par conséquent, l'absence du rapport de sécurité des installations électriques à basse tension ne pouvait pas être reprochée en droit à la recourante. La demande de la recourante tendant à l'annulation de la décision attaquée doit dès lors être admise (cf. notamment à ce sujet les arrêts du Tribunal administratif fédéral A-3127/2015 du 18 août 2015 consid. 5, A-507/2014 du 22 juillet 2014 consid. 5, A-2470/2010 du 20 juillet 2010 consid. 5.2).</w:t>
      </w:r>
    </w:p>
    <w:p>
      <w:r>
        <w:rPr>
          <w:b/>
        </w:rPr>
        <w:t>E. 3</w:t>
      </w:r>
    </w:p>
    <w:p>
      <w:r>
        <w:t>Au vu de ce qui précède, le recours doit être admis, dans la mesure où les conditions de l'art. 36 al. 3 OIBT ne sont pas remplies, et la décision du 12 janvier 2016 doit être annulée.</w:t>
      </w:r>
    </w:p>
    <w:p>
      <w:r>
        <w:rPr>
          <w:b/>
        </w:rPr>
        <w:t>E. 4.1</w:t>
      </w:r>
    </w:p>
    <w:p>
      <w:r>
        <w:t>Les frais de procédure étant, selon l'art. 63 al. 1 1ère phrase PA, généralement mis, dans le dispositif, à la charge de la partie qui succombe, la recourante ne supportera pas les frais de la cause et l'avance de frais d'un montant de Fr. 800.- lui sera restituée dans les 30 jours qui suivent l'entrée en force du présent arrêt. Pour sa part, quoique succombant, l'autorité inférieure n'est pas assujettie aux frais judiciaires, en tant qu'autorité fédérale (art. 63 al. 2 PA).</w:t>
      </w:r>
    </w:p>
    <w:p>
      <w:r>
        <w:rPr>
          <w:b/>
        </w:rPr>
        <w:t>E. 4.2</w:t>
      </w:r>
    </w:p>
    <w:p>
      <w:r>
        <w:t>Le Tribunal peut, d'office ou sur requête, allouer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En l'espèce, la recourante s'est défendue seule, par le biais de son service juridique. Elle ne fait en outre pas valoir qu'elle aurait subi de ce fait des frais considérables. C'est pourquoi, il ne lui sera pas alloué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