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A-907/2017 vom 14. November 2017</w:t>
      </w:r>
    </w:p>
    <w:p>
      <w:r>
        <w:t>Bundesverwaltungsgericht, 2017-11-14, FR</w:t>
      </w:r>
    </w:p>
    <w:p>
      <w:r>
        <w:rPr>
          <w:b/>
        </w:rPr>
        <w:t xml:space="preserve">Quelle: </w:t>
      </w:r>
      <w:r>
        <w:t>https://mcp.opencaselaw.ch/entscheid/bvger_A-907_2017</w:t>
      </w:r>
    </w:p>
    <w:p>
      <w:r>
        <w:t>FR: TAF A-907/2017 du 14 novembre 2017</w:t>
      </w:r>
    </w:p>
    <w:p>
      <w:r>
        <w:t>IT: TAF A-907/2017 del 14 novembre 2017</w:t>
      </w:r>
    </w:p>
    <w:p>
      <w:pPr>
        <w:pStyle w:val="Heading2"/>
      </w:pPr>
      <w:r>
        <w:t>Regeste</w:t>
      </w:r>
    </w:p>
    <w:p>
      <w:r>
        <w:t>Entraide administrative et judiciaire</w:t>
      </w:r>
    </w:p>
    <w:p>
      <w:pPr>
        <w:pStyle w:val="Heading2"/>
      </w:pPr>
      <w:r>
        <w:t>Erwägungen</w:t>
      </w:r>
    </w:p>
    <w:p>
      <w:r>
        <w:rPr>
          <w:b/>
        </w:rPr>
        <w:t>E. 4</w:t>
      </w:r>
    </w:p>
    <w:p>
      <w:r>
        <w:t>En dernier lieu, il convient de considérer ce qui suit en relation avec le caviardage - déjà entrepris partiellement par l'AFC - concernant des informations antérieures au 1er janvier 2011 (consid. 3.2.1.2 ci-avant).</w:t>
      </w:r>
    </w:p>
    <w:p>
      <w:r>
        <w:rPr>
          <w:b/>
        </w:rPr>
        <w:t>E. 4.1</w:t>
      </w:r>
    </w:p>
    <w:p>
      <w:r>
        <w:t>Tout d'abord, et compte tenu du caviardage complémentaire de certaines informations spontanément entrepris par l'AFC dans sa réponse du 26 avril 2017 (F.c et consid. 3.2.1.2 ci-avant ; pièces 5 à 11 et 16 de la pièce 85 du dossier de l'autorité inférieure), il conviendra évidemment d'observer lesdits caviardages complémentaires (pièces 5 à 11 et 16 annexes modifiées de la pièce 85) également au moment de la transmission définitive de ces renseignements à l'autorité requérante.</w:t>
      </w:r>
    </w:p>
    <w:p>
      <w:r>
        <w:rPr>
          <w:b/>
        </w:rPr>
        <w:t>E. 4.2</w:t>
      </w:r>
    </w:p>
    <w:p>
      <w:r>
        <w:t>Ensuite, sans pour autant entreprendre un examen d'office de l'ensemble des pièces du dossier (cf. consid. 1.4.2 ci-avant), le Tribunal administratif fédéral observe qu'il est manifeste que les annexes 12 et 23 de la pièce 85 du dossier de l'autorité inférieure contiennent des informations absolument similaires à celles que l'AFC a entrepris de caviarder et que l'AFC aurait dû spontanément caviarder (consid. 4.1 ci-avant). Avant leur envoi définitif au HMRC, il s'agira donc de caviarder dans ces deux annexes les dates antérieures au 1er janvier 2011.</w:t>
      </w:r>
    </w:p>
    <w:p>
      <w:r>
        <w:rPr>
          <w:b/>
        </w:rPr>
        <w:t>E. 4.3</w:t>
      </w:r>
    </w:p>
    <w:p>
      <w:r>
        <w:t>Enfin, concernant les dates mentionnées au ch. 2 a) du dispositif de la décision, il s'agit d'informations portant sur des éléments continuant à produire des effets juridiques à ce jour, de sorte que le Tribunal de céans n'estime pas nécessaire qu'elles soient caviardées (consid. 2.1.2 ci-avant). Il en va de même en ce qui concerne les dates mentionnées sous ch. 2 b) de la décision attaquée. En conséquence, la décision finale de l'AFC doit être modifiée dans le sens que les annexes 12 et 23 à la pièce 85 du dossier de l'autorité inférieure sont à caviarder. En revanche, et après pesée de tous les intérêts en cause (ATF 142 II 161 consid. 4.6.1), les noms des différentes personnes qui apparaissent dans ces informations et documents peuvent être transmis. D'une part, ces indications ne sont pas le fruit d'un pur hasard et, d'autre part, elles doivent être considérées comme étant vraisemblablement pertinentes pour le HMRC, et ce, compte tenu de l'état de fait décrit et des informations recherchées (ATF 143 II 185 consid. 3.2, ATF 142 II 161 consid. 4.6.2). Au demeurant, leur suppression rendrait la demande d'assistance administrative vide de sens.</w:t>
      </w:r>
    </w:p>
    <w:p>
      <w:r>
        <w:rPr>
          <w:b/>
        </w:rPr>
        <w:t>E. 5.1</w:t>
      </w:r>
    </w:p>
    <w:p>
      <w:r>
        <w:t>Les frais de procédure sont fixés à Fr. 5'000.-. Vu l'admission très partielle du recours et non pas dans ses conclusions principales telles qu'elles ressortent de l'acte de recours du 10 février 2017, les frais de procédure sont mis à la charge du recourant (art. 63 al. 1 PA) à raison de neuf dixièmes, soit Fr. 4'500.-. Ce montant est prélevé sur l'avance de frais de Fr. 5'000.- déjà versée (cf. art. 4 du règlement du 21 février 2008 concernant les frais, dépens et indemnités fixés par le Tribunal administratif fédéral [FITAF, RS 173.320.2]). Le solde de Fr. 500.- sera restitué au recourant une fois le présent arrêt définitif et exécutoire, à charge pour lui de communiquer un numéro de compte postal ou bancaire.</w:t>
      </w:r>
    </w:p>
    <w:p>
      <w:r>
        <w:rPr>
          <w:b/>
        </w:rPr>
        <w:t>E. 5.2</w:t>
      </w:r>
    </w:p>
    <w:p>
      <w:r>
        <w:t>Une indemnité de dépens de Fr. 750.- est allouée au recourant (art. 64 al. 1 PA ; art. 7 al. 2 FITAF), lequel n'a du reste produit aucune note de frais. L'autorité inférieure n'a pas droit aux dépens (art. 7 al. 3 FITAF).</w:t>
      </w:r>
    </w:p>
    <w:p>
      <w:r>
        <w:rPr>
          <w:b/>
        </w:rPr>
        <w:t>E. 6</w:t>
      </w:r>
    </w:p>
    <w:p>
      <w:r>
        <w:t>S'agissant finalement des voies de droit qui entrent en ligne de compte ici, il convient de se référer aux art. 83 let. h, 84a, 90 ss et 100 al. 2 let. b de la LTF. Par conséquent, le présent arrêt, qui concerne un cas d'assistance administrative internationale en matière fiscale, peut être attaqué par un recours en matière de droit public, à condition qu'une question juridique de principe se pose ou qu'il s'agisse pour d'autres motifs d'un cas particulièrement important au sens de l'art. 84 al. 2 LTF. Le délai de recours est de dix jours (art. 100 al. 2 let. b LTF). Il revient au Tribunal fédéral de dire si les conditions de recevabilité du recours sont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