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A-892/2019 vom 25. November 2020</w:t>
      </w:r>
    </w:p>
    <w:p>
      <w:r>
        <w:t>Bundesverwaltungsgericht, 2020-11-25, FR</w:t>
      </w:r>
    </w:p>
    <w:p>
      <w:r>
        <w:rPr>
          <w:b/>
        </w:rPr>
        <w:t xml:space="preserve">Quelle: </w:t>
      </w:r>
      <w:r>
        <w:t>https://mcp.opencaselaw.ch/entscheid/bvger_A-892_2019</w:t>
      </w:r>
    </w:p>
    <w:p>
      <w:r>
        <w:t>FR: TAF A-892/2019 du 25 novembre 2020</w:t>
      </w:r>
    </w:p>
    <w:p>
      <w:r>
        <w:t>IT: TAF A-892/2019 del 25 novembre 2020</w:t>
      </w:r>
    </w:p>
    <w:p>
      <w:pPr>
        <w:pStyle w:val="Heading2"/>
      </w:pPr>
      <w:r>
        <w:t>Regeste</w:t>
      </w:r>
    </w:p>
    <w:p>
      <w:r>
        <w:t>Assistance administrative</w:t>
      </w:r>
    </w:p>
    <w:p>
      <w:pPr>
        <w:pStyle w:val="Heading2"/>
      </w:pPr>
      <w:r>
        <w:t>Erwägungen</w:t>
      </w:r>
    </w:p>
    <w:p>
      <w:r>
        <w:rPr>
          <w:b/>
        </w:rPr>
        <w:t>E. 10</w:t>
      </w:r>
    </w:p>
    <w:p>
      <w:r>
        <w:t>Au vu de ce qui précède, le Tribunal constate que la décision litigieuse satisfait aux exigences de l'assistance administrative en matière fiscale sous réserve de la question du statut de personne formellement concernée de la recourante qui est nié sans que cette qualification n'ait de conséquence quant à l'issue du litige (cf., ci-dessus, consid. 7). Dès lors, le recours doit être rejeté.</w:t>
      </w:r>
    </w:p>
    <w:p>
      <w:r>
        <w:rPr>
          <w:b/>
        </w:rPr>
        <w:t>E. 11</w:t>
      </w:r>
    </w:p>
    <w:p>
      <w:r>
        <w:t>La recourante,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déjà versée. Vu l'issue de la cause, il n'y ainsi pas lieu d'allouer de dépens (cf. art. 64 al. 1 PA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