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A-8884/2010 vom 21. Juli 2011</w:t>
      </w:r>
    </w:p>
    <w:p>
      <w:r>
        <w:t>Bundesverwaltungsgericht, 2011-07-21, DE</w:t>
      </w:r>
    </w:p>
    <w:p>
      <w:r>
        <w:rPr>
          <w:b/>
        </w:rPr>
        <w:t xml:space="preserve">Quelle: </w:t>
      </w:r>
      <w:r>
        <w:t>https://mcp.opencaselaw.ch/entscheid/bvger_A-8884_2010</w:t>
      </w:r>
    </w:p>
    <w:p>
      <w:r>
        <w:t>FR: TAF A-8884/2010 du 21 juillet 2011</w:t>
      </w:r>
    </w:p>
    <w:p>
      <w:r>
        <w:t>IT: TAF A-8884/2010 del 21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29. Dezember 2010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 wie die Beschwerdeführerin zu Recht vorbringt -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Leitungen "Sils-Bärenburg-Ferrera" Teil des strategischen 220/380 kV-Übertragungsleitungsnetzes.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8</w:t>
      </w:r>
    </w:p>
    <w:p>
      <w:r>
        <w:t>Zusammenfassend kann festgehalten werden, dass Stichleitungen (mit oder ohne Versorgungscharakter), die auf der Spannungsebene 220/380 kV betrieben werden, zum Übertragungsnetz gehören. Vorliegend ist unbestritten, dass die streitgegenständliche Leitung "Sils-Bärenburg-Ferrera" eine Stichleitung ist, womit sie zum Übertragungsnetz gehört und ins Eigentum der Beschwerdegegnerin zu überführen ist. Die Beschwerde ist damit gutzuheissen und Ziffer 10 des Dispositivs der Verfügung vom 11. November 2010 ist in diesem Sinn aufzuheben. Damit erübrigt es sich, die weiteren Vorbringen der Beschwerdeführerin zu prüfen.</w:t>
      </w:r>
    </w:p>
    <w:p>
      <w:r>
        <w:rPr>
          <w:b/>
        </w:rPr>
        <w:t>E. 9</w:t>
      </w:r>
    </w:p>
    <w:p>
      <w:r>
        <w:t>Bei diesem Ausgang des Verfahrens gilt die Beschwerdegegnerin als unterliegend, weshalb ihr die Verfahrenskosten aufzuerlegen sind (Art. 63 Abs. 1 VwVG und Art. 1 ff. des Reglements vom 21. Februar 2008 über die Kosten und Entschädigungen vor dem Bundesverwaltungsgericht [VGKE, SR 173.320.2)]. Diese sind auf Fr. 6'000.- festzusetzen. Der Beschwerdeführerin wir der Kostenvorschuss in der Höhe von Fr. 20'000.-nach Eintritt der Rechtskraft dieses Urteils zurückerstattet.</w:t>
      </w:r>
    </w:p>
    <w:p>
      <w:r>
        <w:rPr>
          <w:b/>
        </w:rPr>
        <w:t>E. 10</w:t>
      </w:r>
    </w:p>
    <w:p>
      <w:r>
        <w:t>Der obsiegenden Beschwerdeführerin steht eine Parteientschädigung für ihr erwachsene und verhältnismässig hohe Kosten zu (Art. 64 Abs. 1 VwVG und Art. 7 ff. VGKE). Die Rechtsvertreter der Beschwerdeführerin haben keine Honorarnote eingereicht, weshalb die Entschädigung auf Grund der Akten festzusetzen ist (Art. 64 Abs. 2 VwVG i.V.m. Art. 14 Abs. 2 VGKE). Angesichts der beiden Eingaben an das Bundesverwaltungsgericht und des mutmasslich damit verbundenen Aufwands ist die Parteientschädigung für das Verfahren vor dem Bundesverwaltungsgericht auf Fr. 8'000.- (inkl. Auslagen und Mehrwertsteuer) festzusetzen und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