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A-884/2012 vom 12. April 2012</w:t>
      </w:r>
    </w:p>
    <w:p>
      <w:r>
        <w:t>Bundesverwaltungsgericht, 2012-04-12, DE</w:t>
      </w:r>
    </w:p>
    <w:p>
      <w:r>
        <w:rPr>
          <w:b/>
        </w:rPr>
        <w:t xml:space="preserve">Quelle: </w:t>
      </w:r>
      <w:r>
        <w:t>https://mcp.opencaselaw.ch/entscheid/bvger_A-884_2012</w:t>
      </w:r>
    </w:p>
    <w:p>
      <w:r>
        <w:t>FR: TAF A-884/2012 du 12 avril 2012</w:t>
      </w:r>
    </w:p>
    <w:p>
      <w:r>
        <w:t>IT: TAF A-884/2012 del 12 aprile 2012</w:t>
      </w:r>
    </w:p>
    <w:p>
      <w:pPr>
        <w:pStyle w:val="Heading2"/>
      </w:pPr>
      <w:r>
        <w:t>Regeste</w:t>
      </w:r>
    </w:p>
    <w:p>
      <w:r>
        <w:t>Öffentlichkeitsprinzip</w:t>
      </w:r>
    </w:p>
    <w:p>
      <w:pPr>
        <w:pStyle w:val="Heading2"/>
      </w:pPr>
      <w:r>
        <w:t>Erwägungen</w:t>
      </w:r>
    </w:p>
    <w:p>
      <w:r>
        <w:rPr>
          <w:b/>
        </w:rPr>
        <w:t>E. 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und das BSV eine Vorinstanz nach Art. 33 Bst. d VGG ist, ist das Bundesverwaltungsgericht zur Beurteilung der vorliegenden Beschwerde zuständig (vgl. auch Art. 16 Abs. 1 des Öffentlichkeitsgesetzes vom 17. Dezember 2004 [BGÖ, SR 152.3]). Das Verfahren vor dem Bundesverwaltungsgericht richtet sich nach dem VwVG, sofern das VGG nichts anderes bestimmt (Art. 37 VGG).</w:t>
      </w:r>
    </w:p>
    <w:p>
      <w:r>
        <w:rPr>
          <w:b/>
        </w:rPr>
        <w:t>E. 2</w:t>
      </w:r>
    </w:p>
    <w:p>
      <w:r>
        <w:t>Vorliegend wurde der Kostenvorschuss unbestrittenermassen erst nach Ablauf der vom Bundesverwaltungsgericht angesetzten Frist geleistet (vgl. zur Fristwahrung Art. 21 Abs. 3 VwVG). Nach Art. 24 Abs. 1 VwVG wird eine Frist wieder hergestellt, wenn der Gesuchsteller oder sein Vertreter unverschuldeterweise abgehalten worden ist, binnen Frist zu handeln, sofern er unter Angabe des Grundes innert 30 Tagen nach dem Wegfall des Hindernisses darum ersucht und die versäumte Rechtshandlung nachholt.</w:t>
      </w:r>
    </w:p>
    <w:p>
      <w:r>
        <w:rPr>
          <w:b/>
        </w:rPr>
        <w:t>E. 2.1</w:t>
      </w:r>
    </w:p>
    <w:p>
      <w:r>
        <w:t>Die Rechtsprechung zur Wiederherstellung der Frist ist allgemein sehr restriktiv. Ein Hinderungsgrund darf nicht leichthin angenommen werden. Als unverschuldet im Sinne von Art. 24 Abs. 1 VwVG kann ein Versäumnis nur dann gelten, wenn dafür objektive Gründe vorliegen und der Partei keine Nachlässigkeit vorgeworfen werden kann. Als erheblich sind mit anderen Worten nur solche Gründe zu betrachten, die der Partei auch bei Aufwendung der üblichen Sorgfalt die Wahrung ihrer Interessen verunmöglicht oder unzumutbar erschwert hätten (André Moser/Micha­el Beusch/Lorenz Kneubühler, Prozessieren vor dem Bundesverwaltungsgericht, Basel 2008, Rz. 2.139 f. mit Hinweisen). Wird die Bezahlung eines Kostenvorschusses einer Hilfsperson übertragen, ist deren Verhalten dem Beschwerdeführer bzw. dem Vertreter wie ein eigenes zuzurechnen. Dies gilt auch, wenn der Beschwerdeführer bzw. der Vertreter bei der Instruktion der Hilfsperson die gehörige Sorgfalt aufgewendet und die Hilfsperson klare Anordnungen missachtet hat (vgl. BGE 114 Ib 67 E. 2c, 3; vgl. auch Urteil des Bundesgerichts 2A.264/2003 vom 6. Juni 2003 E. 2.2.2 und Bernard Maitre/Vanessa Thalmann, in: Waldmann/Weissenberger (Hrsg.), Praxiskommentar zum Bundesgesetz über das Verwaltungsverfahren, Zürich/Basel/Genf 2009, Art. 24 Rz. 12). Als Hilfsperson gilt nicht nur, wer dem Beschwerdeführer oder seinem Vertreter untergeordnet ist, sondern all jene Personen, die mit dem Beschwerdeführer oder seinem Vertreter zusammenwirken. Eine dauerhafte rechtliche Beziehung zur Hilfsperson ist nicht notwendig (vgl. BGE 107 Ia 168 E. 2a und Maitre/Thalmann, a.a.O., Art. 24 Rz. 12).</w:t>
      </w:r>
    </w:p>
    <w:p>
      <w:r>
        <w:rPr>
          <w:b/>
        </w:rPr>
        <w:t>E. 2.2</w:t>
      </w:r>
    </w:p>
    <w:p>
      <w:r>
        <w:t>Vorliegend liess der Beschwerdeführer die Bezahlung des Kostenvorschusses durch die Tamedia AG als Hilfsperson vornehmen. Er hat sich das Verhalten der Buchhaltungsabteilung dieses Betriebs zurechnen zu lassen. Daran ändert sich nach dem oben Gesagten auch nichts, wenn die Zahlung durch den Beschwerdeführer rechtzeitig in die Wege geleitet und die Buchhaltungsabteilung schriftlich angewiesen wurde, die Zahlung dringend bis zum 9. März 2012 vorzunehmen. Dass die Zahlung nicht vom Beschwerdeführer selbst verzögert wurde, sondern die Zahlungsfrist aufgrund mangelhafter Ausführung der Anweisungen durch die Buchhaltungsabteilung versäumt wurde, ist daher irrelevant. Entscheidend ist, dass organisatorische Unzulänglichkeiten nicht als unverschuldete Hindernisse gelten (vgl. Moser/Beusch/Kneubühler, a.a.O., Rz. 2.143 mit Hinweis) und der Beschwerdeführer keinen anderen Hinderungsgrund geltend macht.</w:t>
      </w:r>
    </w:p>
    <w:p>
      <w:r>
        <w:rPr>
          <w:b/>
        </w:rPr>
        <w:t>E. 2.3</w:t>
      </w:r>
    </w:p>
    <w:p>
      <w:r>
        <w:t>Das Gesuch um Wiederherstellung der Frist zur Leistung des Kostenvorschusses erweist sich somit als unbegründet und ist abzuweisen.</w:t>
      </w:r>
    </w:p>
    <w:p>
      <w:r>
        <w:rPr>
          <w:b/>
        </w:rPr>
        <w:t>E. 3.1</w:t>
      </w:r>
    </w:p>
    <w:p>
      <w:r>
        <w:t>Der Beschwerdeführer merkt an, es wäre ärgerlich, wenn er das Zugangsverfahren wegen eines Buchhaltungsversehens nochmals von vorne starten und alle damit befassten Amtsstellen in der gleichen Sache ein zweites Mal bemühen müsste, um schlussendlich die gleiche Beschwerde erneut beim Bundesverwaltungsgericht einreichen zu können. Das Bundesgericht hat sich zur Tatsache geäussert, dass der massgebliche Art. 63 Abs. 4 VwVG die Androhung der Nichteintretensfolge für den Fall der Säumnis vorsieht, nicht aber die Ansetzung einer Nachfrist. Es hat festgehalten, der Ausschluss einer Nachfrist bei Nichtleisten des Kostenvorschusses innert der vom Bundesverwaltungsgericht angesetzten Frist möge als hart empfunden werden. Da die Norm aber vom Bundesgesetzgeber so gewollt sei und innerhalb des diesem eröffneten Regelungsermessens liege, bleibe für Verhältnismässigkeitsüberlegungen oder eine Interessenabwägung im Einzelfall kein Raum (vgl. Urteil des Bundesgerichts 2C_703/2009 vom 21. September 2010 E. 4.4.). Ein entsprechender Spielraum besteht somit auch vorliegend nicht. Es hat folglich auch offen zu bleiben, ob der Beschwerdeführer das Zugangsverfahren mit einem neuen Gesuch wieder in Gang setzen und auf diesem Weg eine gerichtliche Beurteilung erzwingen könnte, oder ob diesem Vorgehen die Rechtskraft der vorinstanzlichen Verfügung entgegen stünde.</w:t>
      </w:r>
    </w:p>
    <w:p>
      <w:r>
        <w:rPr>
          <w:b/>
        </w:rPr>
        <w:t>E. 3.2</w:t>
      </w:r>
    </w:p>
    <w:p>
      <w:r>
        <w:t>Folglich ist androhungsgemäss und im einzelrichterlichen Verfahren auf die Beschwerde nicht einzutreten (vgl. Art. 23 VwVG i.V.m. Art. 23 Abs. 1 Bst. b VGG).</w:t>
      </w:r>
    </w:p>
    <w:p>
      <w:r>
        <w:rPr>
          <w:b/>
        </w:rPr>
        <w:t>E. 4</w:t>
      </w:r>
    </w:p>
    <w:p>
      <w:r>
        <w:t>Bei diesem Ausgang des Verfahrens gilt der Beschwerdeführer als unterliegend, weshalb ihm die Verfahrenskosten aufzuerlegen sind (vgl. Art. 63 Abs. 1 VwVG). Diese werden auf Fr. 300.- festgesetzt (vgl. Art. 1 ff. des Reglements vom 21. Februar 2008 über die Kosten und Entschädigungen vor dem Bundesverwaltungsgericht [VGKE, SR 173.320.2]). Sie sind mit dem verspätet geleisteten Kostenvorschuss von Fr. 1'000.- zu verrechnen. Der Restbetrag von Fr. 700.- ist dem Beschwerdeführer nach Eintritt der Rechtskraft dieses Urteils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