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A-878/2015 vom 17. September 2015</w:t>
      </w:r>
    </w:p>
    <w:p>
      <w:r>
        <w:t>Bundesverwaltungsgericht, 2015-09-17, FR</w:t>
      </w:r>
    </w:p>
    <w:p>
      <w:r>
        <w:rPr>
          <w:b/>
        </w:rPr>
        <w:t xml:space="preserve">Quelle: </w:t>
      </w:r>
      <w:r>
        <w:t>https://mcp.opencaselaw.ch/entscheid/bvger_A-878_2015</w:t>
      </w:r>
    </w:p>
    <w:p>
      <w:r>
        <w:t>FR: TAF A-878/2015 du 17 septembre 2015</w:t>
      </w:r>
    </w:p>
    <w:p>
      <w:r>
        <w:t>IT: TAF A-878/2015 del 17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98 francs de l'indemnité forfaitaire mensuelle de son logement,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mensuel du logement de service imposée au recourant.</w:t>
      </w:r>
    </w:p>
    <w:p>
      <w:r>
        <w:rPr>
          <w:b/>
        </w:rPr>
        <w:t>E. 3</w:t>
      </w:r>
    </w:p>
    <w:p>
      <w:r>
        <w:t>Il convient de commencer par déterminer si la présente contestation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w:t>
      </w:r>
    </w:p>
    <w:p>
      <w:r>
        <w:rPr>
          <w:b/>
        </w:rPr>
        <w:t>E. 3.3</w:t>
      </w:r>
    </w:p>
    <w:p>
      <w:r>
        <w:t>Dans le cas présent, le recourant a choisi de se domicilier à (...), dans le canton de Fribourg, et, quoi qu'il en dise, il ne fait l'objet d'aucune restriction à cet égard. En raison de l'éloignement géographique entre son domicile et le poste de douane auquel il est affecté, il s'est librement annoncé auprès du Commandement des gardes-frontière et il a requis l'attribution d'un logement de service, à (...), ce qui devrait lui permettre de remplir au mieux ses obligations professionnelles, au vu des contraintes liées à sa fonction (services de piquet, tâches de surveillance, etc ; voir ég. Feuille fédérale [FF] 1999 I 1443). L'usage du logement n° (...) est ainsi dans un rapport étroit, direct et fonctionnel avec le service de l'Etat. Il est par conséquent soumis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Le droit du bail ne saurait en effet porter sur des choses qui servent à l'usage public ou à remplir des tâches publiques (arrêt du Tribunal fédéral 4A_250/2015 précité consid. 4a). Les circonstances que le recourant n'ait pas été contraint de déplacer son domicile (art. 21 al. 1 let. a LPers) ou que la décision soit intervenue à sa demande ne changent par ailleurs rien à la nature (publique) du rapport qui s'est noué à cette occasion. En vertu du principe de la primauté du droit public sur le droit privé, la seule voie de droit fédéral qui peut entrer en considération est donc celle ouverte par le droit public, ce dont il suit la compétence de l'autorité inférieure pour statuer sur l'augmentation du dédommagement du logement de service du recourant par voie décisionnelle. Comme le rappelle par ailleurs l'autorité inférieure, conformément au principe du parallélisme des formes, qui consiste à soumettre la modification d'un acte à la même procédure que son adoption (cf. ATF 126 V 183 consid. 5b, ATF 112 Ia 136 consid. 3c, ATF 108 Ia 178 consid. 3d), la compétence reconnue à l'autorité inférieure d'attribuer un logement de service à un membre du CGfr implique également la compétence de statuer sur les modifications des indemnités mensuelles de celui-ci. C'est donc, pour cette raison également, en sa qualité d'autorité investie de la puissance publique, que l'autorité inférieure est intervenue dans la présente cause.</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 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Ensuite, les départements fixent les modalités dans leur domaine d'activité.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(art. 59 al. 1 O-OPers). Le DFF édicte des directives sur le dédommagement et les charges à payer pour l'utilisation d'un logement de service (art. 59 al. 2 O-OPers). Se fondant sur ces dispositions, la Direction générale des douanes a édicté des instructions, le 1er septembre 2014, sur les logements de service et logements locatifs. Celles-ci prévoient que, en cas d'assignation dans un centre communautaire, l'indemnité est fixée à 330 francs par chambre (pour les zones 1 à 7, définies à l'art. 11 al. 2 O OPers ; cf. ch. 3.4 des instructions du 1er septembre 2014 précitées).</w:t>
      </w:r>
    </w:p>
    <w:p>
      <w:r>
        <w:rPr>
          <w:b/>
        </w:rPr>
        <w:t>E. 5.1</w:t>
      </w:r>
    </w:p>
    <w:p>
      <w:r>
        <w:t>Dans un grief d'ordre formel, le recourant estime que la procédure préalable menée par l'autorité inférieure ne lui a pas permis de savoir qu'une décision serait prise à son détriment et d'y participer. Il y voit une violation de son droit d'être entendu. L'autorité inférieure lui oppose que, le 29 octobre 2014, le chef du centre des Ressources humaines de l'Administration fédérale des douanes AFD lui a expressément communiqué le montant de la hausse de l'indemnité mensuelle. Il ne pouvait dès lors ignorer l'ouverture de la procédure administrative préalable.</w:t>
      </w:r>
    </w:p>
    <w:p>
      <w:r>
        <w:rPr>
          <w:b/>
        </w:rPr>
        <w:t>E. 5.2</w:t>
      </w:r>
    </w:p>
    <w:p>
      <w:r>
        <w:t>Conformément à l'art. 29 al. 1 Cst., toute personne a droit, dans une procédure judiciaire ou administrative, à ce que sa cause soit traitée équitablement et jugée dans un délai raisonnable (cf. Jean-François Aubert/Pascal Mahon, Petit commentaire de la Constitution fédérale de la Confédération suisse du 18 avril 1999, 2003, ad art. 29 Cst., n. 2). Ce principe requiert que chaque partie se voie offrir une possibilité raisonnable de présenter sa cause dans des conditions qui ne la placent pas dans une situation de net désavantage (cf. ATF 137 IV 172 consid. 2.6 et le renvoi à la jurisprudence administrative). Pour sa part, le droit d'être entendu au sens de l'art. 29 al. 2 Cst. garantit à toute personne le droit d'être informée et entendue avant qu'une décision soit prise à son détriment. Ce droit d'être entendu est confirmé par l'art. 29 PA. Ainsi l'administré a-t-il, en particulier, le droit d'être informé de l'ouverture d'une procédure, de son déroulement, de son contenu et de s'expliquer avant qu'une décision ne soit prise à son détriment (ATF 132 V 368 consid. 3.1, 129 II 497 consid. 2.2, 127 III 576 consid. 2c et les réf. cit. ; ATAF 2010/53 consid. 13.1). Dans le domaine des logements de service, cette garantie est particulièrement importante, car elle se substitue fonctionnellement à la procédure de conciliation du droit du bail (RDAF 1998 I p. 697).</w:t>
      </w:r>
    </w:p>
    <w:p>
      <w:r>
        <w:rPr>
          <w:b/>
        </w:rPr>
        <w:t>E. 5.3</w:t>
      </w:r>
    </w:p>
    <w:p>
      <w:r>
        <w:t>En l'espèce, le Tribunal retient que le recourant a été dûment informé, le 29 octobre 2014, de l'augmentation du dédommagement de la chambre qu'il occupe au sein d'un centre communautaire de la Confédération, prévue pour le 1er janvier 2015, et qu'une occasion raisonnable lui a été donnée à cette occasion de prendre position avant que l'autorité inférieure n'établisse l'augmentation définitive. Il a d'ailleurs agi devant la Commission de conciliation en matière de baux à loyer de Nyon pour contester cette augmentation. A cette occasion, il a de surcroît pris connaissance des différentes prises de position de l'autorité inférieure devant cette autorité, tendant à l'application du droit public en la présente cause. L'ensemble des documents pertinents lui ont en outre été remis le 29 octobre 2014 ou lui étaient directement accessibles sur le réseau intranet du Cgfr (Intradouane). Il est par ailleurs normal que les liens vers le réseau intranet, référencés dans certains documents transmis au recourant, soient inaccessibles à son conseil, puisqu'il s'agit d'un réseau interne à l'administration. Il n'en demeure pas moins que ces documents figurent au dossier et que le recourant y a personnellement eu constamment accès. Les faits très succincts et la motivation juridique retenus par l'autorité inférieure ne revêtent donc manifestement pas un caractère inattendu, imprévisible ou insolite pour le recourant, sur lesquels il n'aurait jamais eu l'occasion de s'exprimer. Enfin, compte tenu de la nature de droit public du litige, l'information préalable donnée au recourant par le chef du centre des Ressources humaines de l'autorité inférieure s'est entièrement substituée à l'obligation parallèle, en droit civil, de notifier un avis de majoration du loyer. Les garanties du droit d'être entendu offrent d'ailleurs une protection plus étendue à cet égard.</w:t>
      </w:r>
    </w:p>
    <w:p>
      <w:r>
        <w:rPr>
          <w:b/>
        </w:rPr>
        <w:t>E. 5.4</w:t>
      </w:r>
    </w:p>
    <w:p>
      <w:r>
        <w:t>Dans ces circonstances, le recourant n'avait pas à être entendu de façon plus spécifique sur la portée à reconnaître aux règles de droit, déjà explicitées dans le document remis par son employeur le 29 octobre 2014. Représenté par un mandataire professionnel exerçant la profession d'avocat, il pouvait et devait en outre escompter le prononcé d'une décision administrative, dès lors qu'il avait contesté l'augmentation du dédommagement et que l'autorité était tenue de veiller à l'entrée en vigueur, au 1er janvier 2015, des instructions du 1er septembre 2014 sur les logements de service et logements locatifs. Le grief de violation du droit d'être entendu du recourant tombe dès lors à faux.</w:t>
      </w:r>
    </w:p>
    <w:p>
      <w:r>
        <w:rPr>
          <w:b/>
        </w:rPr>
        <w:t>E. 6.1</w:t>
      </w:r>
    </w:p>
    <w:p>
      <w:r>
        <w:t>Sur le fond, le recourant n'élève devant le Tribunal administratif fédéral aucun grief contre le dédommagement fixé d'autorité à 330 francs, soit le montant de l'indemnité mensuelle forfaitaire fixée par les instructions du 1er septembre 2014 pour une chambre dans un centre communautaire (cf. ch. 3.4 des instructions du 1er septembre 2014). Le Tribunal ne perçoit d'ailleurs aucun élément susceptible de remettre en cause ce montant. L'indemnité forfaitaire liée à l'occupation d'un logement de fonction n'a en particulier pas le caractère d'un droit acquis,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A cet effet, il y a en outre lieu de garder à l'esprit que l'estimation des logements de service s'appuie sur des paramètres qui ne peuvent pas être artificiellement isolés, mais doivent au contraire être envisagés dans toute la globalité du système qu'ils composent. Ils font d'ailleurs l'objet d'une large consultation avec les partenaires sociaux. Selon la jurisprudence, la mesure la plus fiable de l'adéquation d'une estimation du logement de service, particulièrement dans le cadre du contrôle par l'autorité de recours, est certainement celle des 70% du loyer d'objets comparables selon les usages locaux (cf. JAAC 65.81 consid. 5d). Ainsi, selon les chiffres publiés par l'Office fédéral de la statistique, le loyer moyen en 2003 d'une pièce des logements occupés dans le canton de Vaud s'élève à 589 francs (intervalle de confiance de 95 %), sans les charges (cf. Office fédéral de la statistique, Enquête de structure sur les loyers, Loyer moyen par canton et nombre de pièces, 2003). Le département des finances et des relations extérieures du canton de Vaud a également publié une statistique, plus récente, qui fait état d'un loyer moyen, sans les charges, de 700 francs en 2012 (cf. Statistique Vaud, Loyer moyen des logements occupés selon la taille, mise à jour le 24 novembre 2014).</w:t>
      </w:r>
    </w:p>
    <w:p>
      <w:r>
        <w:rPr>
          <w:b/>
        </w:rPr>
        <w:t>E. 6.2</w:t>
      </w:r>
    </w:p>
    <w:p>
      <w:r>
        <w:t>Ainsi, dans la mesure où le dédommagement (330 francs, charges comprises) se situe largement au-dessous du niveau des 70% précité, le résultat de l'estimation du logement de service du recourant procède d'une correcte application du droit.</w:t>
      </w:r>
    </w:p>
    <w:p>
      <w:r>
        <w:rPr>
          <w:b/>
        </w:rPr>
        <w:t>E. 7</w:t>
      </w:r>
    </w:p>
    <w:p>
      <w:r>
        <w:t>Il s'ensuit que la décision attaquée est conforme au droit et que le recours, mal fondé, doit être rejeté.</w:t>
      </w:r>
    </w:p>
    <w:p>
      <w:r>
        <w:rPr>
          <w:b/>
        </w:rPr>
        <w:t>E. 7.1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7.2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