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A-85/2015 vom 22. Januar 2016</w:t>
      </w:r>
    </w:p>
    <w:p>
      <w:r>
        <w:t>Bundesverwaltungsgericht, 2016-01-22, DE</w:t>
      </w:r>
    </w:p>
    <w:p>
      <w:r>
        <w:rPr>
          <w:b/>
        </w:rPr>
        <w:t xml:space="preserve">Quelle: </w:t>
      </w:r>
      <w:r>
        <w:t>https://mcp.opencaselaw.ch/entscheid/bvger_A-85_2015</w:t>
      </w:r>
    </w:p>
    <w:p>
      <w:r>
        <w:t>FR: TAF A-85/2015 du 22 janvier 2016</w:t>
      </w:r>
    </w:p>
    <w:p>
      <w:r>
        <w:t>IT: TAF A-85/2015 del 22 gennaio 2016</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Zunächst ist das Vorliegen eines tauglichen Anfechtungsobjektes zu prüfen.</w:t>
      </w:r>
    </w:p>
    <w:p>
      <w:r>
        <w:rPr>
          <w:b/>
        </w:rPr>
        <w:t>E. 1.1.1</w:t>
      </w:r>
    </w:p>
    <w:p>
      <w:r>
        <w:t>Als Verfügungen im Sinne von Art. 5 Abs. 1 VwVG gelten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(Bst. c; vgl. Urteil des BVGer vom 28. September 2015 A 1255/2015 E. 1.1.4; Ulrich Häfelin/Georg Müller/Felix Uhlmann, Allgemeines Verwaltungsrecht, 6. Aufl., 2010, Rz. 854 ff.; Pierre Tschannen/Ulrich Zimmerli/Markus Müller, Allgemeines Verwaltungsrecht, 4. Aufl., 2014, § 28 Rz. 17 f. und 31; René Wiederkehr/Paul Richli, Praxis des allgemeinen Verwaltungsrechts, Band I, 2012, Rz. 2145 ff., insb. Rz. 2209 ff.). Eine Verfügung muss ohne weitere Konkretisierungs-Verfügung unmittelbar durchsetzbar sein (BGE 121 I 313 E. 2.a). Dies bedingt eine minimale Präzision und Klarheit. Für den Verfügungsadressaten und die Behörde muss klar und unmissverständlich sein, was zwischen ihnen gilt; nur so erfüllt die Verfügung die für sie spezifischen Kriterien der direkten Vollstreckbarkeit und der beschwerdemässigen Anfechtbarkeit (BGE 134 II 272 E. 3.2; Markus Müller, in Auer/Müller/Schindler [Hrsg.], Kommentar zum Bundesgesetz über das Verwaltungsverfahren, 2008, Art. 5 Rz. 19, Wiederkehr/Richli, a.a.O., Rz. 2213). Für das Vorliegen einer Verfügung ist dabei nicht massgebend, ob sie als solche gezeichnet ist und eine Rechtsmittelbelehrung enthält oder den gesetzlichen Formvorschriften für eine Verfügung entspricht. Massgebend ist vielmehr, ob die inhaltlichen Strukturmerkmale einer Verfügung vorhanden sind (Urteile des BVGer C-8135/2010 vom 10. Januar 2013 E. 1.4 und A-8518/2007 vom 18. September 2008 E. 4.4). Die Mitteilung einer Rechtsauffassung einer Behörde stellt in der Regel keine anfechtbare Verfügung dar (vgl. BGE 121 II 473 E. 2.c und 135 II 30 E. 1.1), ebenso wenig sind abstrakte Rechtsfragen feststellungsfähig (Müller, a.a.O., Rz. 58 zu Art. 5 VwVG). Nur ausnahmsweise hatte das Bundesgericht die Ankündigung einer Verwaltungspraxis als Verfügung eingestuft und ist auf eine entsprechende Beschwerde eingetreten (BGE 114 Ib 190 E. 1.a). In jenem Fall ging es um die Ankündigung, keine Ausnahmebewilligungen mehr zu erteilen bezüglich der Länge, des Gewichts und der Höhe von Fahrzeugen für bestimmte Fahrten. Diese Ankündigung definierte die Haltung der Behörde dermassen klar und schränkte deren Handlungsspielraum so stark ein, dass sie einem Entscheid gleichkam und der Beschwerdeführer nicht erst die mit Gewissheit absehbare Verweigerung einer Bewilligung abwarten musste.</w:t>
      </w:r>
    </w:p>
    <w:p>
      <w:r>
        <w:rPr>
          <w:b/>
        </w:rPr>
        <w:t>E. 1.1.2</w:t>
      </w:r>
    </w:p>
    <w:p>
      <w:r>
        <w:t>Die Beschwerdeführerin ficht die Ziffern 3 und 5 des Dispositivs der Verfügung vom 13. November 2014 an. Mit Letzterer werden der Beschwerdeführerin Kosten für das Verfahren in der Höhe von Fr. 2'225.- auferlegt, es handelt sich insofern offensichtlich um eine Verfügung im dargelegten Sinn, wird sie doch gestützt auf öffentliches Recht des Bundes zur Zahlung einer Geldsumme verpflichtet.</w:t>
      </w:r>
    </w:p>
    <w:p>
      <w:r>
        <w:rPr>
          <w:b/>
        </w:rPr>
        <w:t>E. 1.1.3</w:t>
      </w:r>
    </w:p>
    <w:p>
      <w:r>
        <w:t>Zu prüfen ist jedoch, ob auch der Dispositiv-Ziff. 3 Verfügungscharakter zukommt. Diese lautet wie folgt: "Die wegen der nicht fristgerechten Überführung des Übertragungsnetzes der ewz doppelt angefallenen Betriebskosten sind nur einmal anrechenbar. Die ewz Übertragungsnetz AG hat keinen Anspruch auf Entschädigung dieser Kosten." In der Begründung hierzu führt die Vorinstanz aus, aufgrund der damals vorliegenden Akten nicht in der Lage zu sein, abschliessend zu beurteilen, ob und in welcher Höhe doppelte Kosten angefallen seien und lediglich im Grundsatz über die Anrechenbarkeit allfälliger doppelt angefallener (Verwaltungs-)Kosten entscheiden zu können (Verfügung, Rz. 31 f.).</w:t>
      </w:r>
    </w:p>
    <w:p>
      <w:r>
        <w:rPr>
          <w:b/>
        </w:rPr>
        <w:t>E. 1.1.4</w:t>
      </w:r>
    </w:p>
    <w:p>
      <w:r>
        <w:t>Die Beschwerdeführerin erachtet die Frage der Anrechenbarkeit mutmasslich doppelt angefallener Betriebskosten als bereits abschliessend geregelt und befürchtet rechtliche und tatsächliche Nachteile, wenn dies in Rechtskraft erwachsen würde. Die Beschwerdegegnerin bestreitet den Verfügungscharakter nicht ausdrücklich, weist aber darauf hin, dass eine abstrakte, theoretische Frage ohne hinreichende Sachverhaltsermittlung behandelt worden sei. Es fehle an einem konkreten Regelungsgegenstand.</w:t>
      </w:r>
    </w:p>
    <w:p>
      <w:r>
        <w:rPr>
          <w:b/>
        </w:rPr>
        <w:t>E. 1.1.5</w:t>
      </w:r>
    </w:p>
    <w:p>
      <w:r>
        <w:t>Die Dispositiv-Ziff. 3 richtet sich an die Beschwerdeführerin und die Beschwerdegegnerin und ist insofern individuell. Hingegen ist nicht klar, welche konkreten Kosten der Beschwerdeführerin betroffen sind bzw. ob es solche überhaupt gibt. Die Vorinstanz hat vielmehr zu einer Rechtsfrage in abstrakter und allgemeiner Weise Stellung genommen. Sie dürfte daher in einem weiteren Schritt zu ermitteln haben, ob überhaupt und gegebenenfalls in welchem Umfang es doppelt angefallene Betriebskosten in den Tarifjahren 2013 und 2014 gab. Zwar sehen Art. 5 Abs. 1 Bst. b und Art. 25 Abs. 1 VwVG ausdrücklich auch Feststellungsverfügungen vor. Diese können - anders als die in Art. 5 Abs. 1 Bst. a VwVG aufgezählten Verfügungsarten - nicht unmittelbar vollstreckt werden, stellen aber dennoch die Rechte und Pflichten in einem konkreten Einzelfall fest und sind verbindlich. Vorliegend hat die Vorinstanz jedoch keinen konkreten Einzelfall geregelt, d.h. sie hat weder Feststellungen zu konkreten Rechten oder Pflichten der Beschwerdeführerin und der Beschwerdegegnerin getroffen noch den diesbezüglichen Sachverhalt bereits umfassend ermittelt, wie sie im Übrigen auch selbst einräumt. Die mitgeteilte Rechtsauffassung ist nicht derart konkret oder schränkt den Handlungsspielraum der Vorinstanz bereits so stark ein, dass sie einem Entscheid gleichkommt bzw. eine allenfalls noch zu erlassende Verfügung über die anrechenbaren Kosten der Beschwerdeführerin in den Tarifjahren 2013 und 2014 geradezu vorweg nimmt. Die Dispositiv-Ziff. 3 kann daher auch aus diesem Grund nicht als Verfügung eingestuft werden. Es ist zudem nicht ausgeschlossen, dass die Vorinstanz, in Kenntnis des gesamten rechtlich relevanten Sachverhalts, dannzumal auf ihre Auffassung zurückkommt.</w:t>
      </w:r>
    </w:p>
    <w:p>
      <w:r>
        <w:rPr>
          <w:b/>
        </w:rPr>
        <w:t>E. 1.1.6</w:t>
      </w:r>
    </w:p>
    <w:p>
      <w:r>
        <w:t>Der Anordnung in Ziff. 3 der angefochtenen Verfügung mangelt es somit am Verfügungscharakter. Diese stellt daher kein Anfechtungsobjekt dar, weshalb insofern auf die Beschwerde nicht einzutreten ist.</w:t>
      </w:r>
    </w:p>
    <w:p>
      <w:r>
        <w:rPr>
          <w:b/>
        </w:rPr>
        <w:t>E. 1.2</w:t>
      </w:r>
    </w:p>
    <w:p>
      <w:r>
        <w:t>Die ElCom gehört zu den Behörden nach Art. 33 Bst. f VGG und ist daher eine Vorinstanz des Bundesverwaltungsgerichts. Eine Ausnahme nach Art. 32 VGG, was das Sachgebiet angeht, ist nicht gegeben. Demnach ist das Bundesverwaltungsgericht für die Beurteilung der erhobenen Beschwerde grundsätzlich zuständig (vgl. auch Art. 23 StromVG).</w:t>
      </w:r>
    </w:p>
    <w:p>
      <w:r>
        <w:rPr>
          <w:b/>
        </w:rPr>
        <w:t>E. 1.3</w:t>
      </w:r>
    </w:p>
    <w:p>
      <w:r>
        <w:t>Zur Beschwerde ist berechtigt, wer am Verfahren vor der Vorinstanz teilgenommen hat, durch die angefochtene Verfügung besonders berührt ist und ein schutzwürdiges Interesse an deren Aufhebung oder Änderung hat (Art. 48 Abs. 1 VwVG). Die Beschwerdeführerin war Partei im vorinstanzlichen Verfahren und ist mit ihren Anträgen unterlegen. Sie ist damit zur Beschwerde grundsätzlich legitimiert.</w:t>
      </w:r>
    </w:p>
    <w:p>
      <w:r>
        <w:rPr>
          <w:b/>
        </w:rPr>
        <w:t>E. 1.4</w:t>
      </w:r>
    </w:p>
    <w:p>
      <w:r>
        <w:t>Auf die form- und fristgerecht eingereichte Beschwerde ist daher teilweise einzutreten, nämlich soweit die Kostenfrage, d.h. Dispositiv-Ziff. 5 betreffend.</w:t>
      </w:r>
    </w:p>
    <w:p>
      <w:r>
        <w:rPr>
          <w:b/>
        </w:rPr>
        <w:t>E. 2</w:t>
      </w:r>
    </w:p>
    <w:p>
      <w:r>
        <w:t>Die Beschwerdeführerin macht geltend, im Falle des vollständigen Obsiegens könne ihr für das Verfahren vor der ElCom keine Gebühr auferlegt werden. Die Dispositiv-Ziff. 5 sei daher aufzuheben.</w:t>
      </w:r>
    </w:p>
    <w:p>
      <w:r>
        <w:rPr>
          <w:b/>
        </w:rPr>
        <w:t>E. 2.1</w:t>
      </w:r>
    </w:p>
    <w:p>
      <w:r>
        <w:t>Die Vorinstanz erwog, gemäss Art. 1 Abs. 3 der Verordnung über Gebühren und Aufsichtsabgaben im Energiebereich vom 22. November 2006 (GebV-En, SR 730.05) i.V.m. Art. 2 Abs. 1 der Allgemeinen Gebührenverordnung vom 8. September 2004 (AllgGebV, SR 172.041.1) habe eine Gebühr zu bezahlen, wer eine Verfügung veranlasse. Sowohl die Beschwerdeführerin wie auch die Beschwerdegegnerin würden im vorliegenden Verfahren teilweise mit ihren Anträgen unterliegen. Ausserdem sei davon auszugehen, dass dieses Verfahren zumindest in Bezug auf gewisse Fragen vermeidbar gewesen wäre. In diesem Lichte hätten die beiden Parteien das Verfahren gemeinsam verursacht und die Gebühr sei ihnen zu gleichen Teilen und unter solidarischer Haftung aufzuerlegen. Zudem legte die Vorinstanz den angefallenen Aufwand dar.</w:t>
      </w:r>
    </w:p>
    <w:p>
      <w:r>
        <w:rPr>
          <w:b/>
        </w:rPr>
        <w:t>E. 2.2</w:t>
      </w:r>
    </w:p>
    <w:p>
      <w:r>
        <w:t>Gemäss Art. 21 Abs. 5 StromVG werden die Kosten der ElCom durch Verwaltungsgebühren gedeckt, der Bundesrat regelt die Einzelheiten. Art. 13a Abs. 1 Bst. a GebV-En hält den Grundsatz fest, dass die ElCom Gebühren namentlich für Verfügungen und Entscheide im Zusammenhang mit der Stromversorgung erhebt. Art. 1 Abs. 3 GebV-En verweist auf die AllgGebV, soweit Erstere keine besonderen Bestimmungen enthält. Aus der Begründung der Gebührenfestsetzung ergibt sich, dass die Vor­instanz ihrer Praxis gefolgt ist, die bereits mehrfach vom Bundesverwaltungsgericht zu beurteilen war. Die angewandten Grundsätze und Berechnungsschritte für die Gebührenberechnung wurden stets für rechtens befunden, ebenso, dass die Vorinstanz das Unterliegen berücksichtigt (Urteile des BVGer A 2606/2009 vom 11. November 2010 E. 18.3 f., A 2654/2009 vom 7. Mai 2013 E. 11.1 und A 2518/2012 vom 7. Januar 2014 E. 5). Aus der Entwicklung der Rechtsbegehren der Beschwerdeführerin im vorinstanzlichen Verfahren (vgl. Verfügung, Rz. 1-5) ergibt sich, dass zwischen den Parteien verschiedene Differenzen über die Berechnung der Entschädigung bestanden, insbesondere, ob die Werte am 31. Dezember 2013 bzw. 2014 oder die dem Basisjahrprinzip entsprechenden Werte vom 31. Dezember 2011 und 2012 massgebend seien. Auch wenn die Dispositiv-Ziff. 3 bzw. der ihr zugrunde liegende Streitpunkt bei der Kostenauferlegung nicht berücksichtigt wird, ist der Schluss der Vorinstanz, beide Parteien hätten das Verfahren veranlasst, nicht zu beanstanden und wird im Übrigen auch nicht substantiiert gerügt. Ebenso wenig wird die Höhe der Gebühren bestritten. Die dagegen gerichtete Beschwerde ist daher als unbegründet abzuweisen.</w:t>
      </w:r>
    </w:p>
    <w:p>
      <w:r>
        <w:rPr>
          <w:b/>
        </w:rPr>
        <w:t>E. 3.1</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Angesichts der Rechtsbegehren und Vorbringen der Beschwerdeführerin zu den sog. Verwaltungskosten ist sicher ein Streitwert von über einer Millionen Franken gegeben, womit der diesbezügliche Gebührenrahmen von Fr. 7'000.- bis Fr. 40'000.- nach Art. 4 VGKE zur Anwendung kommt. Sowohl der Umfang des Falles als auch die Komplexität der letztlich zu beurteilenden Streitfragen sind im unteren Bereich anzusiedeln. In Anwendung der erwähnten Kriterien werden die Verfahrenskosten daher auf Fr. 8'000.- festgesetzt und der Beschwerdeführerin auferlegt. Diese werden dem geleisteten Kostenvorschuss von Fr. 12'000.- entnommen. Der Restbetrag von Fr. 4'000.- wird der Beschwerdeführerin nach Eintritt der Rechtskraft des vorliegenden Urteils zurückerstattet.</w:t>
      </w:r>
    </w:p>
    <w:p>
      <w:r>
        <w:rPr>
          <w:b/>
        </w:rPr>
        <w:t>E. 3.2</w:t>
      </w:r>
    </w:p>
    <w:p>
      <w:r>
        <w:t>Der ganz oder teilweise obsiegenden Partei ist von Amtes wegen oder auf Begehren eine Entschädigung für ihr erwachsene notwendige und verhältnismässig hohe Kosten zuzusprechen (Art. 64 Abs. 1 VwVG i.V.m. Art. 7 ff. VGKE). Keinen Anspruch auf Parteientschädigung haben Bundesbehörden und, in der Regel, andere Behörden, die als Parteien auftreten. Sind die Kosten verhältnismässig gering, so kann überdies von einer Parteientschädigung abgesehen werden (Art. 7 Abs. 3 und 4 VGKE). Aufgrund ihres Unterliegens hat die Beschwerdeführerin keinen Anspruch auf Parteientschädigung. Ebenso wenig hat die nicht anwaltlich vertretene Beschwerdegegnerin oder die Vorinstanz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