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A-8486/2007 vom 11. Februar 2009</w:t>
      </w:r>
    </w:p>
    <w:p>
      <w:r>
        <w:t>Bundesverwaltungsgericht, 2009-02-11, FR</w:t>
      </w:r>
    </w:p>
    <w:p>
      <w:r>
        <w:rPr>
          <w:b/>
        </w:rPr>
        <w:t xml:space="preserve">Quelle: </w:t>
      </w:r>
      <w:r>
        <w:t>https://mcp.opencaselaw.ch/entscheid/bvger_A-8486_2007</w:t>
      </w:r>
    </w:p>
    <w:p>
      <w:r>
        <w:t>FR: TAF A-8486/2007 du 11 février 2009</w:t>
      </w:r>
    </w:p>
    <w:p>
      <w:r>
        <w:t>IT: TAF A-8486/2007 del 11 febbraio 2009</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attaqué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(art. 48 et suivants PA), elles sont remplies.</w:t>
      </w:r>
    </w:p>
    <w:p>
      <w:r>
        <w:rPr>
          <w:b/>
        </w:rPr>
        <w:t>E. 2</w:t>
      </w:r>
    </w:p>
    <w:p>
      <w:r>
        <w:t>Le 1er avril 2007, sont entrées en vigueur la nouvelle loi fédérale du 24 mars 2006 sur la radio et la télévision (LRTV, RS 784.40), abrogeant celle du 21 juin 1991 (RO 1992 601, aLRTV ci-après), ainsi que la nouvelle ordonnance sur la radio et la télévision du 9 mars 2007 (ORTV, RS 784.401) remplaçant, quant à elle, l'ordonnance du 6 octobre 1997 (RO 1997 2903, aORTV ci-après).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A-2254/2006 du 31 mai 2007, consid. 4.1 et la référence citée). En l'espèce, si les deux décisions de Billag SA - sur lesquelles l'autorité inférieure s'est prononcée dans la décision attaquée - datent respectivement des 18 avril 2007 (cessation) et 10 mai 2007 (mainlevée), les faits sur lesquelles celles-ci se fondent sont antérieurs au 1er avril 2007. Il n'y a donc pas lieu de s'écarter de la règle générale, de sorte que le litige doit s'apprécier à la lumière de la loi et de l'ordonnance en vigueur jusqu'au 1er avril 2007. Au demeurant, le nouveau droit ne fait que reprendre le système mis en place par les anciennes aLRTV et aORTV en ce qui concerne l'obligation de payer les redevances (cf. Message du Conseil fédéral relatif à la révision totale de la loi fédérale sur la radio et la télévision du 18 décembre 2002, FF 2003 1491 et 1567).</w:t>
      </w:r>
    </w:p>
    <w:p>
      <w:r>
        <w:rPr>
          <w:b/>
        </w:rPr>
        <w:t>E. 3</w:t>
      </w:r>
    </w:p>
    <w:p>
      <w:r>
        <w:t>Il convient en premier lieu de rappeler brièvement le système prévu par les anciennes aLRTV et aORTV. D'après l'art. 55 al. 1 aLRTV, celui qui désire recevoir des programmes de radio et de télévision doit l'annoncer auparavant à l'autorité compétente. Il doit s'acquitter d'une redevance de réception (arrêt du TAF A-2255/2006 du 4 juillet 2007 consid. 3.2 et les références citées). L'art. 41 aORTV traite de l'obligation de déclarer et prévoit ce qui suit : "Quiconque exploite ou prépare en vue de les exploiter des récepteurs de programmes de radio ou de télévision doit en informer l'organe d'encaissement. Sont considérés comme récepteurs tous les appareils adaptés à la réception à titre privé ou professionnel des programmes de radio ou de télévision ainsi que des productions et des informations présentées de manière similaire" (al. 1). "Les modifications des éléments déterminant l'obligation de déclarer doivent être annoncées par écrit" (al. 2).</w:t>
      </w:r>
    </w:p>
    <w:p>
      <w:r>
        <w:rPr>
          <w:b/>
        </w:rPr>
        <w:t>E. 4</w:t>
      </w:r>
    </w:p>
    <w:p>
      <w:r>
        <w:t>La décision attaquée comporte deux questions, à savoir d'une part la question de la cessation de l'obligation du recourant de payer les redevances de télévision au 31 mars 2007 et, d'autre part, la question de savoir si la poursuite intentée contre le recourant pour les redevances du 1er février 2002 au 30 juin 2006 est justifiée. Ces deux questions ont cependant le même fondement, et le litige consiste à déterminer si le recourant est tenu envers Billag SA par ce qui figure dans l'annonce faite sur internet le 10 août 2005.</w:t>
      </w:r>
    </w:p>
    <w:p>
      <w:r>
        <w:rPr>
          <w:b/>
        </w:rPr>
        <w:t>E. 5</w:t>
      </w:r>
    </w:p>
    <w:p>
      <w:r>
        <w:t>En l'espèce, il est vrai que rien ne permet de savoir si cette inscription a bel et bien été effectuée par le recourant ou si elle l'a été par un tiers malveillant. En effet, ce mode de procéder (formulaire en ligne) ne permet pas d'obtenir la certitude que c'est bien la personne dont les coordonnées sont entrées qui remplit elle-même le formulaire. Il n'en irait cependant pas autrement s'il s'agissait d'un formulaire "papier", rempli à la main, et envoyé par la poste à Billag SA. En réalité, la vérification de l'identité de l'annonceur ne peut se faire qu'à posteriori, lors de la confirmation écrite envoyée par Billag SA à la personne nouvellement annoncée : en effet, lorsqu'une personne reçoit un tel courrier et qu'elle considère qu'il n'est pas justifié, le cours ordinaire des choses voudra qu'elle réagisse sans tarder. Certes, dans le cas présent, le recourant affirme ne pas avoir reçu la confirmation écrite de Billag SA du 22 août 2005. Ce courrier n'ayant pas été envoyé en recommandé, il n'existe aucun moyen de vérifier cette affirmation, de telle sorte que ce courrier ne peut être tenu pour ayant été reçu par le recourant. Par contre, le recourant a lui-même admis avoir reçu les factures qui ont suivi. Il reconnaît en particulier avoir mis la première d'entre elles "de côté" et ne pas avoir réagi, pensant qu'il s'agissait d'une erreur. Un tel comportement est d'autant plus surprenant que cette facture du 3 octobre 2005 faisait état d'un montant de 1'747,60 francs (redevances du 01.02.2002 au 31.12.2005). Le recourant n'a pas non plus réagi au rappel qui lui a été adressé le 15 décembre 2005, ni aux factures suivantes des 3 janvier et 3 avril 2006, qui ont également toutes deux fait l'objet de rappels, respectivement les 21 mars et 20 juin 2006 (ce dernier étant intitulé "dernier rappel avant l'engagement de poursuites"). Il apparaît que le recourant n'a réagi qu'après le 19 janvier 2007, date à laquelle il s'est vu notifier le commandement de payer à l'origine de la présente procédure. Il a apparemment d'abord réagi téléphoniquement, mais n'a écrit à Billag SA que le 9 mars 2007. Rien au dossier n'indique que le recourant ait réagi avant le début 2007, soit bien plus d'une année après avoir eu connaissance de son obligation de payer les redevances de réception. Certes, le recourant a affirmé dans son recours à l'autorité inférieure qu'il aurait envoyé deux courriers à Billag SA, mais ces affirmations, floues et surtout non étayées, ne peuvent être retenues, de la même manière que le courrier de confirmation de réception de l'annonce par Billag SA au recourant (cf. consid. 5 ci-dessus, 1er §). En effet, il n'existe pas de copie ni d'information sur le premier courrier ; concernant le second, que le recourant aurait renvoyé par fax, le dossier ne fait état que d'un seul fax, à savoir celui du 14 mars 2007, par lequel le recourant envoyait à nouveau son courrier précédent que Billag avait pourtant bel et bien reçu le 9 mars 2007 (cf. pièces 12 et 13 du dossier de l'autorité inférieure). Ainsi, bien que l'on ne puisse affirmer avec certitude que c'est bien le recourant qui a rempli le formulaire en ligne le 10 août 2005, on peut par contre constater qu'il a attendu plus d'une année avant de se manifester auprès de Billag SA, et ce malgré plusieurs factures et rappels qui lui furent adressés. Or,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prend fin (cf. arrêt du Tribunal fédéral du 2A.621/2004 du 3 novembre 2004 consid. 2.1, confirmé dans l'arrêt du Tribunal fédéral 2C_629/2007 du 13 mars 2008 consid. 2.1 ; arrêt du Tribunal administratif fédéral A-2255/2006 du 4 juillet 2007 consid. 3.2). Dans le cas présent, il est clair qu'en ignorant les factures et les rappels qui lui étaient adressés, le recourant n'a pas fait preuve de la diligence que les circonstances exigeaient de lui et a ainsi violé son devoir de collaboration (cf. consid. 3 ci-dessus). C'est donc à juste titre que l'autorité inférieure a retenu que le recourant est débiteur des redevances de réception dès la date annoncée dans le formulaire en ligne, soit le 12 janvier 2002, et ce jusqu'au moment où il a valablement communiqué son opposition par écrit (cf. art. 41 al. 2 aORTV, consid. 3 supra), soit le 9 mars 2007.</w:t>
      </w:r>
    </w:p>
    <w:p>
      <w:r>
        <w:rPr>
          <w:b/>
        </w:rPr>
        <w:t>E. 6</w:t>
      </w:r>
    </w:p>
    <w:p>
      <w:r>
        <w:t>Mal fondé, le recours doit ainsi être rejeté. Le recourant qui succombe supportera les frais de procédure (art. 63 al. 1 PA). Vu le règlement du 21 février 2008 concernant les frais, dépens et indemnités fixés par le Tribunal administratif fédéral (FITAF, RS 173.320.2), ceux-ci seront fixés à 500 francs. Ils seront compensés avec l'avance de frais que le recourant a versée. Aucune indemnité de dépens ne sera allouée (art. 64 PA et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