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A-843/2021 vom 9. Dezember 2021</w:t>
      </w:r>
    </w:p>
    <w:p>
      <w:r>
        <w:t>Bundesverwaltungsgericht, 2021-12-09, DE</w:t>
      </w:r>
    </w:p>
    <w:p>
      <w:r>
        <w:rPr>
          <w:b/>
        </w:rPr>
        <w:t xml:space="preserve">Quelle: </w:t>
      </w:r>
      <w:r>
        <w:t>https://mcp.opencaselaw.ch/entscheid/bvger_A-843_2021</w:t>
      </w:r>
    </w:p>
    <w:p>
      <w:r>
        <w:t>FR: TAF A-843/2021 du 9 décembre 2021</w:t>
      </w:r>
    </w:p>
    <w:p>
      <w:r>
        <w:t>IT: TAF A-843/2021 del 9 dicembre 2021</w:t>
      </w:r>
    </w:p>
    <w:p>
      <w:pPr>
        <w:pStyle w:val="Heading2"/>
      </w:pPr>
      <w:r>
        <w:t>Regeste</w:t>
      </w:r>
    </w:p>
    <w:p>
      <w:r>
        <w:t>Amtshilfe</w:t>
      </w:r>
    </w:p>
    <w:p>
      <w:pPr>
        <w:pStyle w:val="Heading2"/>
      </w:pPr>
      <w:r>
        <w:t>Erwägungen</w:t>
      </w:r>
    </w:p>
    <w:p>
      <w:r>
        <w:rPr>
          <w:b/>
        </w:rPr>
        <w:t>E. 1.1</w:t>
      </w:r>
    </w:p>
    <w:p>
      <w:r>
        <w:t>Dem Verfahren liegt ein Amtshilfeersuchen der griechischen IAPR vom 31. Dezember 2019 gestützt auf Art. 25 DBA CH-GR zugrunde. Der Vollzug der Amtshilfe wird durch das StAhiG geregelt (Art. 1 Abs. 1 Bst. a StAhiG). Demnach gelten im Beschwerdeverfahren die Bestimmungen über die Bundesrechtspflege, soweit das StAhiG nichts anderes bestimmt (Art. 19 Abs. 5 StAhiG). Vorbehalten bleiben allfällige abweichende Bestimmungen des DBA CH-GR (vgl. Art. 1 Abs. 2 StAhiG).</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1.3</w:t>
      </w:r>
    </w:p>
    <w:p>
      <w:r>
        <w:t>Beschwerdeberechtigte Personen sind gemäss Art. 19 Abs. 2 StAhiG die betroffene(n) Person(en) sowie weitere Personen unter den Voraussetzungen von Art. 48 VwVG. Im vorliegenden Fall erfüllt der Beschwerdeführer als betroffene Person die Voraussetzungen der Beschwerdebefugnis. Auf die form- und fristgerecht eingereichte Beschwerde (vgl. Art. 50 Abs. 1 und Art. 52 Abs. 1 VwVG, je in Verbindung mit Art. 19 Abs. 5 StAhiG) ist somit einzutreten.</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Häner/Martin Bertschi, Verwaltungsverfahren und Verwaltungsrechtspflege des Bundes, 3. Aufl., 2013, Rz. 537).</w:t>
      </w:r>
    </w:p>
    <w:p>
      <w:r>
        <w:rPr>
          <w:b/>
        </w:rPr>
        <w:t>E. 2.1</w:t>
      </w:r>
    </w:p>
    <w:p>
      <w:r>
        <w:t>Der zeitliche Geltungsbereich der Amtshilfeklausel von Art. 25 DBA CH-GR in der hier anwendbaren Fassung ist in Art. VIII Abs. 1 Bst. c des Protokolls vom 4. November 2010 zur Änderung des DBA CH-GR (AS 2012 637, nachfolgend: Änderungsprotokoll) geregelt. Demzufolge findet die vorgenannte Bestimmung auf Auskunftsersuchen Anwendung, die am oder nach dem 27. Dezember 2011 gestellt werden und Informationen ab dem 1. Januar 2012 betreffen. Das Zusatzprotokoll zum DBA CH-GR vom 2. August 2012 (AS 2013 537, nachfolgend: Zusatzprotokoll zum DBA CH-GR) ist gemäss Art. III rückwirkend ebenfalls ab dem 1. Januar 2012 anzuwenden.</w:t>
      </w:r>
    </w:p>
    <w:p>
      <w:r>
        <w:rPr>
          <w:b/>
        </w:rPr>
        <w:t>E. 2.1.1</w:t>
      </w:r>
    </w:p>
    <w:p>
      <w:r>
        <w:t>Nach Art. 25 DBA CH-GR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(Art. 25 Abs. 1 Satz 1 DBA CH-GR). Der Informationsaustausch ist dabei nicht durch Art. 1 DBA CH-GR (persönlicher Geltungsbereich) eingeschränkt (Art. 25 Abs. 1 Satz 2 DBA CH-GR). Die vorliegende staatsvertragliche Grundlage entspricht damit in weiten Teilen dem Wortlaut von Art. 26 des Musterabkommens der Organisation für wirtschaftliche Zusammenarbeit und Entwicklung (OECD) zur Vermeidung der Doppelbesteuerung auf dem Gebiet der Steuern vom Einkommen und vom Vermögen (nachfolgend: OECD-MA) und damit auch dem OECD-Standard (vgl. Botschaft zur Genehmigung eines Protokolls zur Änderung des Doppelbesteuerungsabkommens zwischen der Schweiz und Griechenland vom 3. Dezember 2010 [BBl 2011 627, 631 f.], insbesondere auch zu den bestehenden Abweichungen zum OECD-MA).</w:t>
      </w:r>
    </w:p>
    <w:p>
      <w:r>
        <w:rPr>
          <w:b/>
        </w:rPr>
        <w:t>E. 2.1.2</w:t>
      </w:r>
    </w:p>
    <w:p>
      <w:r>
        <w:t>Im Zusatzprotokoll zum DBA CH-GR wird in Art. I überdies festgehalten, dass Einvernehmen darüber besteht,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Weiter ist in Art. I des erwähnten Zusatzprotokolls ausgeführt, dass die im Amtshilfeersuchen zu liefernden Angaben zwar wichtige verfahrenstechnische Voraussetzungen für die Vermeidung von fishing expeditions sind, sie jedoch nicht so auszulegen sind, «dass sie einen wirksamen Informationsaustausch behindern» (Urteil des BVGer A-2292/2019 vom 6. November 2019 E. 2.1.2).</w:t>
      </w:r>
    </w:p>
    <w:p>
      <w:r>
        <w:rPr>
          <w:b/>
        </w:rPr>
        <w:t>E. 2.1.3</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A-2830/2018 vom 17. September 2018 E. 2.2.3). Daher ist gemäss Rechtsprechung von der ersuchenden Behörde nicht der strikte Beweis des Sachverhalts zu verlangen, doch muss diese hinreichende Verdachtsmomente für dessen Vorliegen dartun (BGE 139 II 451 E. 2.2.1; 139 II 404 E. 9.5; vgl. Urteile des BVGer A-3095/2018 vom 29. Mai 2019 E. 2.5, A-6394/2016 vom 16. Februar 2017 E. 2.3).</w:t>
      </w:r>
    </w:p>
    <w:p>
      <w:r>
        <w:rPr>
          <w:b/>
        </w:rPr>
        <w:t>E. 2.1.4</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Urteile des BVGer A-4228/2018 vom 26. August 2019 E. 2.2, A-769/2017 vom 23. April 2019 E. 2.4.1 sowie A-3716/2015 vom 16. Februar 2016 E. 3.5). Es liegt dabei an der betroffenen Person, den Sachverhalt mittels Urkunden klarerweise und entscheidend zu widerlegen (vgl. BGE 139 II 451 E. 2.3.3; Urteile des BVGer A-2292/2019 vom 6. November 2019 E. 2.1.4 und A-769/2017 vom 23. April 2019 E. 2.4.2).</w:t>
      </w:r>
    </w:p>
    <w:p>
      <w:r>
        <w:rPr>
          <w:b/>
        </w:rPr>
        <w:t>E. 2.2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w:t>
      </w:r>
    </w:p>
    <w:p>
      <w:r>
        <w:rPr>
          <w:b/>
        </w:rPr>
        <w:t>E. 2.3.1</w:t>
      </w:r>
    </w:p>
    <w:p>
      <w:r>
        <w:t>Gemäss Ziff. 4 Bst. a des Protokolls zum DBA CH-GR besteht «Einvernehmen darüber, dass der ersuchende Vertragsstaat ein Begehren um Austausch von Informationen erst dann stellt, wenn er alle in seinem innerstaatlichen Steuerverfahren vorgesehenen üblichen Mittel zur Beschaffung der Informationen ausgeschöpft hat». Es handelt sich dabei um die Aufnahme des Subsidiaritätsprinzips in das DBA zwischen den beiden genannten Vertragsstaaten (vgl. Art. 6 Abs. 2 Bst. g StAhiG).</w:t>
      </w:r>
    </w:p>
    <w:p>
      <w:r>
        <w:rPr>
          <w:b/>
        </w:rPr>
        <w:t>E. 2.3.2</w:t>
      </w:r>
    </w:p>
    <w:p>
      <w:r>
        <w:t>Aufgrund des völkerrechtlichen Vertrauensprinzips besteht rechtsprechungsgemäss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statt vieler: Urteil des BVGer A-5034/2020 vom 7. Mai 2021 E. 2.5.2 m.w.H.).</w:t>
      </w:r>
    </w:p>
    <w:p>
      <w:r>
        <w:rPr>
          <w:b/>
        </w:rPr>
        <w:t>E. 2.3.3</w:t>
      </w:r>
    </w:p>
    <w:p>
      <w:r>
        <w:t>Was unter dem Begriff der «üblichen Mittel» zu verstehen ist, wird im DBA CH-GR nicht weiter definiert. Gemäss bundesverwaltungsgerichtlicher Auslegung der fraglichen Bestimmung nach völkerrechtlichen Regeln ergibt sich, dass nicht das Ausschöpfen sämtlicher möglicher Mittel verlangt wird (Urteile des BVGer A-7164/2018 vom 20. Mai 2019 E. 2.5,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A-7164/2018 E. 2.5).</w:t>
      </w:r>
    </w:p>
    <w:p>
      <w:r>
        <w:rPr>
          <w:b/>
        </w:rPr>
        <w:t>E. 2.4.1</w:t>
      </w:r>
    </w:p>
    <w:p>
      <w:r>
        <w:t>Nach der Rechtsprechung gelten Informationen als voraussichtlich erheblich zur Anwendung oder Durchsetzung des innerstaatlichen Rechts, soweit diese Informationen für den ersuchenden Staat notwendig sind, um eine in diesem Staat steuerpflichtige Person dort korrekt zu besteuern (BGE 143 II 185 E. 3.3.1, 141 II 436 E. 4.4.3; Urteile des BVGer A-4228/2018 vom 26. August 2019 E. 2.4, A-4592/2018 vom 21. März 2019 E. 3.1.2).</w:t>
      </w:r>
    </w:p>
    <w:p>
      <w:r>
        <w:rPr>
          <w:b/>
        </w:rPr>
        <w:t>E. 2.4.2</w:t>
      </w:r>
    </w:p>
    <w:p>
      <w:r>
        <w:t>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Zum anderen sind nur solche Informationen zu übermitteln, die voraussichtlich erheblich sind (vgl. zum Ganzen statt vieler: Urteile des BVGer A-4228/2018 vom 26. August 2019 E. 2.4.1, A-4331/2017 vom 16. November 2017 E. 4.1, je m.w.H.).</w:t>
      </w:r>
    </w:p>
    <w:p>
      <w:r>
        <w:rPr>
          <w:b/>
        </w:rPr>
        <w:t>E. 2.4.3</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nach deren Übermittlung für die ersuchende Behörde als nicht erheblich herausstellen (vgl. BGE 144 II 206 E. 4.3, 142 II 161 E. 2.1.1).</w:t>
      </w:r>
    </w:p>
    <w:p>
      <w:r>
        <w:rPr>
          <w:b/>
        </w:rPr>
        <w:t>E. 2.4.4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2.5.1</w:t>
      </w:r>
    </w:p>
    <w:p>
      <w:r>
        <w:t>Nach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Urteile des BVGer A-2981/2019 vom 1. September 2020 E. 2.2.3, A-3791/2017 vom 5. Januar 2018 E. 5.2.2 mit weiteren Hinweisen).</w:t>
      </w:r>
    </w:p>
    <w:p>
      <w:r>
        <w:rPr>
          <w:b/>
        </w:rPr>
        <w:t>E. 2.5.2</w:t>
      </w:r>
    </w:p>
    <w:p>
      <w:r>
        <w:t>Nach dieser Ordnung bzw. der einschlägigen Rechtsprechung sind unter Umständen auch Personen (insbesondere Gesellschaften),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und ist ihre Übermittlung unter Verhältnismässigkeitsgesichtspunkten erforderlich, das heisst, wenn die Aussonderung, Schwärzung oder anderweitige Unkenntlichmachung der Informationen den Zweck des Amtshilfeersuchens vereiteln würde, so sind sie dem ersuchenden Staat zu übermitteln (vgl. ausführlich mit Beispielen: BGE 144 II 29 E. 4.2.3 f.; ferner: BGE 143 II 506 E. 5.2.1; Urteil des BGer 2C_615/2018 vom 26. März 2019 E. 3.1; statt vieler: Urteil des BVGer A-5383/2019 vom 24. November 2020 E. 2.2.4 mit Hinweisen).</w:t>
      </w:r>
    </w:p>
    <w:p>
      <w:r>
        <w:rPr>
          <w:b/>
        </w:rPr>
        <w:t>E. 3</w:t>
      </w:r>
    </w:p>
    <w:p>
      <w:r>
        <w:t>Im vorliegenden Fall ist streitig und zu prüfen, ob die vorgesehene Datenübermittlung umfangreicher ist als die im Ersuchen beantragte (E. 3.1). Im Weiteren ist zu klären, ob das Subsidiaritätsprinzip eingehalten worden ist (E. 3.2). Im Streit liegt zudem, ob sämtliche zur Übermittlung vorgesehenen Daten voraussichtlich erheblich sind (E. 3.3) und ob vorhandene Namen und Adressen von Drittpersonen auszusondern bzw. zu schwärzen sind (E. 3.4).</w:t>
      </w:r>
    </w:p>
    <w:p>
      <w:r>
        <w:rPr>
          <w:b/>
        </w:rPr>
        <w:t>E. 3.1.1</w:t>
      </w:r>
    </w:p>
    <w:p>
      <w:r>
        <w:t>Im Amtshilfeersuchen vom (Datum) listet die IAPR fünf Bankkonten bei der B._______ AG auf, für welche sie Informationen verlangt. Zudem führt sie mit Bezug auf weitere Bankkonten Folgendes aus: «If there are linked accounts to the above, please provide the respective information. (...). We would also need bank statements for all other accounts held in the banking institutions, in which the above accounts are held by the taxpayers». Mit E-Mail vom (Datum) stellte die ESTV der IAPR u.a. folgende Rückfrage: «Lastly, we are required to provide bank statements for all other accounts held in the banking institutions, in which the above accounts are held by the taxpayers. We would like to kindly ask you to clarify if you are referring to the bank institution mentioned in the request (B._______ AG) and the concerned person, Mr. (...), only. Please specify, should there be any further banking institutions and taxpayers involved». Diese Rückfrage beantwortete die IAPR am (Datum) wie folgt: «This question refers only to accounts to which Mr. (...) is linked. If there are transactions involving other accounts of our taxpayer (Mr. [...]) in the same bank institution, we would need the respective information as well».</w:t>
      </w:r>
    </w:p>
    <w:p>
      <w:r>
        <w:rPr>
          <w:b/>
        </w:rPr>
        <w:t>E. 3.1.2</w:t>
      </w:r>
    </w:p>
    <w:p>
      <w:r>
        <w:t>Das Amtshilfeersuchen ist nach Treu und Glauben auszulegen (E. 2.2). Die Verwendung des Verbs «held by» («gehalten von») impliziert nach der bundesgerichtlichen Rechtsprechung nicht von vornherein, dass die ersuchende Behörde ausschliesslich Informationen über die Bankkonten anforderte, deren rechtliche Inhaberin die betroffene Person war (Urteil des BGer 2C_1037/2019 vom 27. August 2020 E. 5.3.2). Dies muss auch im Rahmen des DBA CH-GR gelten, wird doch im betreffenden Zusatzprotokoll explizit festgehalten, ein Amtshilfeersuchen sei nicht so auszulegen, dass ein wirksamer Informationsaustausch behindert, sondern ein möglichst weitgehender Informationsaustausch gewährleistet werden soll (E. 2.1.2). Das Ersuchen um «bank statements for all other accounts held [...] by the taxpayers» muss nach Treu und Glauben und entsprechend der bundesgerichtlichen Rechtsprechung deshalb so ausgelegt werden, dass die IAPR nach Informationen zu Bankkonten fragt, die sowohl direkt als auch indirekt vom Beschwerdeführer gehalten wurden. Eine allfällige wirtschaftliche Berechtigung oder Zeichnungsberechtigung des Beschwerdeführers an einem Bankkonto wird deshalb vom Amtshilfeersuchen mitumfasst (vgl. Urteil des BGer 2C_1037/2019 vom 27. August 2020 E. 5.3.2 f.). Die Rückfrage der ESTV, ob das Amtshilfeersuchen sich auch auf andere Banken und/oder andere Personen beziehe, wurde seitens der IAPR verneint. Es blieb damit beim Ersuchen der IAPR um Informationen betreffend Bankkonten bei der B._______ AG, die vom Beschwerdeführer direkt oder indirekt gehalten wurden. In der Folge hat die ESTV keine Informationen zur Übermittlung vorgesehen, die nicht im Amtshilfeersuchen aufgeführt sind. Es kann daher auch kein spontaner Informationsaustausch vorliegen.</w:t>
      </w:r>
    </w:p>
    <w:p>
      <w:r>
        <w:rPr>
          <w:b/>
        </w:rPr>
        <w:t>E. 3.2.1</w:t>
      </w:r>
    </w:p>
    <w:p>
      <w:r>
        <w:t>Der Beschwerdeführer macht weiter eine Verletzung des Subsidiaritätsprinzips geltend. Die für die Steuerprüfung zuständige Steuerbehörde in Griechenland habe im Rahmen des innerstaatlichen Steuerverfahrens im Zusammenhang mit den vorliegend relevanten Konten bei der B._______ AG lediglich um Informationen über die auf den Namen des Beschwerdeführers lautenden Konten (inkl. Gemeinschaftskonten) ersucht. Diese habe er während des griechischen Verfahrens ordentlich offengelegt. Hingegen habe die griechische Steuerbehörde zu keinem Zeitpunkt Informationen über allfällige verbundene Konten verlangt. Zudem sei er auch nie aufgefordert worden, allfällige Konten Dritter bekannt zu geben, bei denen er wirtschaftlich Berechtigter oder Zeichnungsberechtigter war. Die IAPR verlange deshalb die entsprechenden Informationen im Amtshilfeverfahren, ohne die üblichen Mittel im innerstaatlichen Verfahren gemäss Ziff. 4 Bst. a des Protokolls zum DBA CH-GR ausgeschöpft zu haben. Als Beweismittel legt der Beschwerdeführer einen teilweise übersetzten Prüfbericht vom (Datum) und ein Parteigutachten ins Recht.</w:t>
      </w:r>
    </w:p>
    <w:p>
      <w:r>
        <w:rPr>
          <w:b/>
        </w:rPr>
        <w:t>E. 3.2.2</w:t>
      </w:r>
    </w:p>
    <w:p>
      <w:r>
        <w:t>Im Amtshilfeersuchen führt die IAPR aus, dass der Beschwerdeführer während der Steuerprüfung nur teilweise Auskünfte zu den Konten in der Schweiz erteilt und die entsprechenden Kontoauszüge nicht eingereicht habe («In due course of the audit, it was established that the taxpayer holds Swiss accounts, for which he only partially replied and did not provide the respective analytical bank statements»). Das Bundesverwaltungsgericht ist an diese Darstellung des Sachverhalts im Ersuchen insoweit gebunden, als diese nicht wegen offensichtlicher Fehler, Lücken oder Widersprüche durch den Beschwerdeführer mittels Urkunden klarerweise und sofort entkräftet wird (E. 2.1.4). Aus dem vom Beschwerdeführer teilweise übersetzten Prüfbericht der griechischen Steuerbehörde wird ersichtlich, dass er aufgefordert wurde «u.a. die Situation mit allen Finanzprodukten (...) und Bankkonten (Sparkonten, Festgeldkonto, Girokonto usw.) zur Verfügung zu stellen, die er während der geprüften Jahre im Ausland, einzeln oder als Miteigentümer mit anderen dritten Personen geführt hat (...)». Dem Beschwerdeführer wurden mehrere Fristerstreckungen von insgesamt mehreren Monaten gewährt, um die gewünschten Daten einzureichen (S. 4 des übersetzten Prüfberichts). Aus dem Bericht sind die Anträge um Fristerstreckung mit Datum vom (...) ersichtlich. Die letzte Fristerstreckung wurde offenbar bis am (...) gewährt (S. 5). Im Weiteren geht aus dem Prüfbericht hervor, dass es sich bloss um eine «Teilprüfung» handle, auf eine vollständige Prüfung aber kein Anspruch bestehe (S. 5). Die Würdigung des übersetzten Prüfberichts ergibt zunächst, dass daraus nicht hervorgeht, ob der Beschwerdeführer die verlangten Unterlagen schliesslich eingereicht hat oder nicht. Im Parteigutachten vom 17. Februar 2021, welches ebenfalls aus der griechischen Sprache ins Deutsche übersetzt worden ist, wird ausgeführt, dass der Beschwerdeführer zahlreiche Antwortschreiben (S. 2 des übersetzten Parteigutachtens) eingereicht habe, ohne dass jedoch der jeweilige Inhalt bekanntgegeben wird. Aus dem Parteigutachten ergibt sich in keiner Weise, dass er die verlangten Bankbelege eingereicht hat. Es legt bloss dar, das Subsidiaritätsprinzip sei verletzt, weil die griechische Behörde nicht auch Informationen zu Bankkonten verlangt habe, bei denen der Beschwerdeführer bloss wirtschaftlich Berechtigter bzw. Zeichnungsberechtigter gewesen sei.</w:t>
      </w:r>
    </w:p>
    <w:p>
      <w:r>
        <w:rPr>
          <w:b/>
        </w:rPr>
        <w:t>E. 3.2.3</w:t>
      </w:r>
    </w:p>
    <w:p>
      <w:r>
        <w:t>Nach dem Gesagten liegt zwischen der Darstellung der IAPR in ihrem Amtshilfeersuchen und den vom Beschwerdeführer eingereichten Beweismitteln kein relevanter Widerspruch vor. Es liegen keine Anhaltspunkte vor, dass der Beschwerdeführer die im innerstaatlichen Verfahren verlangten Kontoinformationen vollständig eingereicht hat. Weder der Prüfbericht noch das Gutachten legen dies nahe oder sind gar Nachweis dafür. Entgegen der Ansicht des Beschwerdeführers ist die alleinige Kenntnis der fünf Kontonummern durch die griechische Steuerbehörde noch kein Beweis dafür, dass diese die verlangten Kontoauszüge erhalten hat. Zudem vermag der Beschwerdeführer aus dem Umstand, dass der Prüfbericht die Ergebnisse eines Verfahrens vor der Direktion für Finanzbeziehungen (S. 5) vorbehält, nichts zu seinen Gunsten abzuleiten. Selbst wenn damit das vorliegende Amtshilfeverfahren gemeint sein soll, wäre gegen diesen Vorbehalt und das entsprechende Vorgehen nichts einzuwenden, kann doch ein Amtshilfeverfahren gerade zu Verifikationszwecken dienen (Urteil des BVGer A-6074/2019 vom 8. September 2021 E. 3.3.5). Unter Berücksichtigung der erstellten bisherigen mangelnden Mitwirkung des Beschwerdeführers (i.e. unvollständige Einreichung der verlangten Kontodaten) musste die griechische Steuerbehörde auch die Erfolgschancen, im innerstaatlichen Verfahren an weitere Informationen zu übrigen Bankkonten zu gelangen, als gering einschätzen. Sie hat folglich das Subsidiaritätsprinzip eingehalten und die üblichen Mittel gemäss der Rechtsprechung ausgeschöpft (E. 2.3.3; Urteil des BVGer A-2177/2021 vom 22. September 2021 E. 3.6.2). Im Übrigen sind gemäss Angaben des Beschwerdeführers die hier relevanten Teile des Prüfberichts mit einem Bezug zu den Bankkonten übersetzt worden. Im Sinne der antizipierten Beweiswürdigung kann dementsprechend auf die Einholung der vollständigen Übersetzung verzichtet werden, da nicht davon auszugehen ist, dass dies am vorliegenden Beweisergebnis etwas ändern würde (zur antizipierten Beweiswürdigung E. 1.5; vgl. BGE 131 I 153 E. 3; Urteil des BVGer A-47/2020 vom 12. März 2021 E. 1.5). Weil die IAPR das Subsidiaritätsprinzip offensichtlich eingehalten hat und der Sachverhalt insofern erstellt ist, hatte die Vorinstanz - entgegen der Ansicht des Beschwerdeführers - auch keinen Anlass, bei der IAPR nachzufragen, welche Informationen die griechischen Steuerbehörden im landesinternen Verfahren ediert hatten. Ob der Beschwerdeführer nach griechischem Recht noch eine korrigierte Steuererklärung einreichen kann, ist im Übrigen eine Frage, die im Hauptverfahren in Griechenland zu klären ist.</w:t>
      </w:r>
    </w:p>
    <w:p>
      <w:r>
        <w:rPr>
          <w:b/>
        </w:rPr>
        <w:t>E. 3.3.1</w:t>
      </w:r>
    </w:p>
    <w:p>
      <w:r>
        <w:t>Der Beschwerdeführer bestreitet zudem, dass die zur Übermittlung vorgesehenen Informationen über die Bankbeziehungen der C._______ S.A., D._______ Ltd. und E.______ S.A. für den geltend gemachten Steuerzweck voraussichtlich erheblich im Sinn von Art. 25 Abs. 1 DBA CH-GR sind.</w:t>
      </w:r>
    </w:p>
    <w:p>
      <w:r>
        <w:rPr>
          <w:b/>
        </w:rPr>
        <w:t>E. 3.3.2</w:t>
      </w:r>
    </w:p>
    <w:p>
      <w:r>
        <w:t>Betreffend die Bankkonten der C._______ S.A. und der D.______ Ltd. ist der Beschwerdeführer zeichnungsberechtigt. Am Bankkonto der E.______ S.A ist er sodann wirtschaftlich berechtigt. Entgegen der Ansicht des Beschwerdeführers können auch die indirekt von ihm gehaltenen Konten für seine Besteuerung in Griechenland voraussichtlich erheblich sein. Eine zeichnungsberechtigte Person kann über das betreffende Konto verfügen, auch wenn sie dies aufgrund von Gesellschafts- und Vertragsrecht nur in vorgegebenem Rahmen tun kann. Ebenso kann die wirtschaftliche Berechtigung an einem Konto relevant für die Steuerveranlagung sein. Die voraussichtliche Erheblichkeit der entsprechenden Informationen ist damit erfüllt.</w:t>
      </w:r>
    </w:p>
    <w:p>
      <w:r>
        <w:rPr>
          <w:b/>
        </w:rPr>
        <w:t>E. 3.4.1</w:t>
      </w:r>
    </w:p>
    <w:p>
      <w:r>
        <w:t>Der Beschwerdeführer bringt überdies vor, dass die Kontoauszüge der C._______ S.A., der D._______ Ltd. und der E.______ S.A., deren Übermittlung vorgesehen sei, Namen vom Ersuchen nicht betroffener Personen (Kunden, Geschäftspartner und Verwandte) beinhalteten, weil diese Zahlungen von den erwähnten Kontoinhaberinnen erhalten oder an diese getätigt hätten. Es handle sich um folgende vier Namen: F._______ Ltd., G._______ Ltd., H.______ S.A. und I._______. Diese Personen wiesen keinen Sachzusammenhang mit der Steuerprüfung des Beschwerdeführers auf. Sie seien deshalb aus den zu übermittelnden Kontoauszügen auszusondern bzw. unkenntlich zu machen. Es kann bei den vom Beschwerdeführer genannten vier Personen nicht gesagt werden, dass deren Namen rein zufällig in den weiterzuleitenden Dokumenten auftauchen (E. 2.5.1). Im Weiteren hat die IAPR in ihrem Amtshilfeersuchen explizit dargelegt, dass sie zur Feststellung des weltweiten Einkommens abklären müsse, ob Einkünfte auf Konten geflossen seien, die der Beschwerdeführer nicht deklariert habe («The Greek tax authorities need to establish whether there have been deposits to the specific accounts that have not been declared in Greece»). Die entsprechenden Namen sind für die Beurteilung der einzelnen Banktransaktionen von Bedeutung und damit auch voraussichtlich erheblich für die Feststellung des weltweiten Einkommens des Beschwerdeführers. Nicht ausser Acht zu lassen ist hierbei, dass sämtliche Drittpersonen durch das Spezialitätsprinzip vor der Verwendung der sie betreffenden Informationen durch den ersuchenden Staat gegen sie selbst geschützt sind (Urteil des BVGer A-2177/2021 vom 22. September 2021 E. 4.2.3). Die Vorinstanz hat denn auch in der Dispositiv-Ziff. 4 Bst. a der angefochtenen Schlussverfügung ausdrücklich festgehalten, dass sie Griechenland darauf hinweisen werde, dass die genannten Informationen im ersuchenden Staat nur in Verfahren gegen den Beschwerdeführer und nur für den im Ersuchen genannten Sachverhalt verwertet werden dürfen.</w:t>
      </w:r>
    </w:p>
    <w:p>
      <w:r>
        <w:rPr>
          <w:b/>
        </w:rPr>
        <w:t>E. 3.4.2</w:t>
      </w:r>
    </w:p>
    <w:p>
      <w:r>
        <w:t>Der Beschwerdeführer wendet letztlich ein, dass die vier Personen über das gegenständliche Verfahren nicht informiert worden seien und dementsprechend ihre Verfahrensrechte nicht hätten wahrnehmen können. Gemäss der bundesgerichtlichen Rechtsprechung muss die Vorinstanz indessen nicht alle Personen, welche gemäss den einschlägigen Bestimmungen beschwerdeberechtigt sein könnten, über ein Amtshilfeverfahren informieren. Eine Informationspflicht besteht nur gegenüber jenen (Dritt-)Personen, von deren Beschwerdeberechtigung die Vorinstanz aufgrund der Akten ausgehen muss bzw. deren Beschwerdeberechtigung evident ist (BGE 146 I 172 E. 7.3.1 f.; Urteil 2C_687/2019 E. 6.2 und 6.3.1). Vorliegend wurden die fraglichen vier Personen im Amtshilfeersuchen nicht erwähnt und ihre Namen tauchen erst in den edierten Kontoeröffnungsdokumenten auf. Allein die Tatsache, dass Transaktionen im Zusammenhang mit ihnen getätigt wurden, begründet keine evidente Beschwerdeberechtigung. Auch sonst sind keine Gründe ersichtlich, die dafürsprechen, dass die betreffenden Drittpersonen evident beschwerdeberechtigt waren. Die Vorinstanz musste sie deshalb nicht über das Amtshilfeverfahren informieren. Ihr rechtliches Gehör wurde nicht verletzt.</w:t>
      </w:r>
    </w:p>
    <w:p>
      <w:r>
        <w:rPr>
          <w:b/>
        </w:rPr>
        <w:t>E. 3.5</w:t>
      </w:r>
    </w:p>
    <w:p>
      <w:r>
        <w:t>Demnach erweist sich die Beschwerde als unbegründet und ist vollumfänglich abzuweisen.</w:t>
      </w:r>
    </w:p>
    <w:p>
      <w:r>
        <w:rPr>
          <w:b/>
        </w:rPr>
        <w:t>E. 4</w:t>
      </w:r>
    </w:p>
    <w:p>
      <w:r>
        <w:t>Ausgangsgemäss sind die Verfahrenskosten dem Beschwerdeführer aufzuerlegen (Art. 63 Abs. 1 VwVG). Diese sind auf Fr. 5'000.- festzulegen (vgl. Art. 2 Abs. 1 i.V.m. Art. 4 des Reglements vom 21. Februar 2008 über die Kosten und Entschädigungen vor dem Bundesverwaltungsgericht [VGKE, SR 173.320.2]). Letzterer Betrag ist dem geleisteten Kostenvorschuss von Fr. 5'477.50 zu entnehmen. Der Restbetrag von Fr. 477.50 ist dem Beschwerdeführer nach Eintritt der Rechtskraft des vorliegenden Urteils zurückzuerstatten.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