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A-8277/2015 vom 29. August 2016</w:t>
      </w:r>
    </w:p>
    <w:p>
      <w:r>
        <w:t>Bundesverwaltungsgericht, 2016-08-29, FR</w:t>
      </w:r>
    </w:p>
    <w:p>
      <w:r>
        <w:rPr>
          <w:b/>
        </w:rPr>
        <w:t xml:space="preserve">Quelle: </w:t>
      </w:r>
      <w:r>
        <w:t>https://mcp.opencaselaw.ch/entscheid/bvger_A-8277_2015</w:t>
      </w:r>
    </w:p>
    <w:p>
      <w:r>
        <w:t>FR: TAF A-8277/2015 du 29 août 2016</w:t>
      </w:r>
    </w:p>
    <w:p>
      <w:r>
        <w:t>IT: TAF A-8277/2015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La recourante dispose en outre de la qualité pour recourir (art. 48 PA et art. 19 al. 2 LAAF). Il y a lieu ainsi d'entrer en matière.</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3.3</w:t>
      </w:r>
    </w:p>
    <w:p>
      <w:r>
        <w:t>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w:t>
      </w:r>
    </w:p>
    <w:p>
      <w:r>
        <w:rPr>
          <w:b/>
        </w:rPr>
        <w:t>E. 3.4</w:t>
      </w:r>
    </w:p>
    <w:p>
      <w:r>
        <w:t>Le motif relatif à ce moyen de droit doit donc être examiné en priorité (ATF 124 I 49 consid. 1; arrêt du TAF A-1414/2015 du 31 mars 2016 consid. 3.1.1).</w:t>
      </w:r>
    </w:p>
    <w:p>
      <w:r>
        <w:rPr>
          <w:b/>
        </w:rPr>
        <w:t>E. 4.1</w:t>
      </w:r>
    </w:p>
    <w:p>
      <w:r>
        <w:t>En l'espèce, [...].</w:t>
      </w:r>
    </w:p>
    <w:p>
      <w:r>
        <w:rPr>
          <w:b/>
        </w:rPr>
        <w:t>E. 4.2</w:t>
      </w:r>
    </w:p>
    <w:p>
      <w:r>
        <w:t>[...].</w:t>
      </w:r>
    </w:p>
    <w:p>
      <w:r>
        <w:rPr>
          <w:b/>
        </w:rPr>
        <w:t>E. 4.3</w:t>
      </w:r>
    </w:p>
    <w:p>
      <w:r>
        <w:t>[...]</w:t>
      </w:r>
    </w:p>
    <w:p>
      <w:r>
        <w:rPr>
          <w:b/>
        </w:rPr>
        <w:t>E. 5.1.1</w:t>
      </w:r>
    </w:p>
    <w:p>
      <w:r>
        <w:t>L'assistance administrative avec les Pays-Bas est régie par l'art. 26 CDI-NL et le chiffre XVI du Protocole à cette même convention (ci-après: Protocole; publié également au RS 0.672.963.61).</w:t>
      </w:r>
    </w:p>
    <w:p>
      <w:r>
        <w:rPr>
          <w:b/>
        </w:rPr>
        <w:t>E. 5.1.2</w:t>
      </w:r>
    </w:p>
    <w:p>
      <w:r>
        <w:t>La CDI-NL et le Protocole s'appliquent à la présente affaire en tant que les demandes d'assistance ici litigieuses, déposées en ***, concernent une période qui court dès le *** (arrêt du TAF A-8400/2015 du 21 mars 2016 consid. 4.1.1).</w:t>
      </w:r>
    </w:p>
    <w:p>
      <w:r>
        <w:rPr>
          <w:b/>
        </w:rPr>
        <w:t>E. 5.2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5.3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5.4.1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 voir aussi art. 6 al. 2 let. g LAAF). L'emploi, tant dans le Protocole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(arrêts du TAF A-4668/2014, A-4669/2014 du 25 avril 2016 consid. 8.2.3, A-4414/2014 du 8 décembre 2014 consid. 3.1.1). Il n'y a pas nécessairement lieu d'exiger de l'autorité requérante qu'elle démontre qu'elle a interpellé en vain le recourant avant de demander l'assistance de la Suisse (arrêts du TAF A-4668/2014, A-4669/2014 du 25 avril 2016 consid. 8.2.3, A-6708/2014 du 24 septembre 2015 consid. 6.2). Si l'affaire fiscale ayant motivé la demande d'assistance administrative est terminée (erledigt), cette dernière doit être rejetée pour défaut de vraisemblable pertinence des informations requises (consid. 5.5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5.4.2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5.4.3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5.4.4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5.4.5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5.5.1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5.5.2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5.5.3</w:t>
      </w:r>
    </w:p>
    <w:p>
      <w:r>
        <w:t>L'assistance administrative peut très bien se limiter à une information négative selon laquelle par exemple un compte n'est d'aucune manière en lien avec un recourant (arrêt du TAF A-1414/2015 du 31 mars 2016 consid. 6.2.12).</w:t>
      </w:r>
    </w:p>
    <w:p>
      <w:r>
        <w:rPr>
          <w:b/>
        </w:rPr>
        <w:t>E. 5.5.4</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6.1.1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6.1.2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6.1.3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6.1.4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6.2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7.1</w:t>
      </w:r>
    </w:p>
    <w:p>
      <w:r>
        <w:t>En l'espèce, [...].</w:t>
      </w:r>
    </w:p>
    <w:p>
      <w:r>
        <w:rPr>
          <w:b/>
        </w:rPr>
        <w:t>E. 7.2.1</w:t>
      </w:r>
    </w:p>
    <w:p>
      <w:r>
        <w:t>[...].</w:t>
      </w:r>
    </w:p>
    <w:p>
      <w:r>
        <w:rPr>
          <w:b/>
        </w:rPr>
        <w:t>E. 7.2.2</w:t>
      </w:r>
    </w:p>
    <w:p>
      <w:r>
        <w:t>[...].</w:t>
      </w:r>
    </w:p>
    <w:p>
      <w:r>
        <w:rPr>
          <w:b/>
        </w:rPr>
        <w:t>E. 7.3.1</w:t>
      </w:r>
    </w:p>
    <w:p>
      <w:r>
        <w:t>[...].</w:t>
      </w:r>
    </w:p>
    <w:p>
      <w:r>
        <w:rPr>
          <w:b/>
        </w:rPr>
        <w:t>E. 7.3.2</w:t>
      </w:r>
    </w:p>
    <w:p>
      <w:r>
        <w:t>[...].</w:t>
      </w:r>
    </w:p>
    <w:p>
      <w:r>
        <w:rPr>
          <w:b/>
        </w:rPr>
        <w:t>E. 7.3.3.1</w:t>
      </w:r>
    </w:p>
    <w:p>
      <w:r>
        <w:t>[...].</w:t>
      </w:r>
    </w:p>
    <w:p>
      <w:r>
        <w:rPr>
          <w:b/>
        </w:rPr>
        <w:t>E. 7.3.3.2</w:t>
      </w:r>
    </w:p>
    <w:p>
      <w:r>
        <w:t>[...].</w:t>
      </w:r>
    </w:p>
    <w:p>
      <w:r>
        <w:rPr>
          <w:b/>
        </w:rPr>
        <w:t>E. 7.3.3.3</w:t>
      </w:r>
    </w:p>
    <w:p>
      <w:r>
        <w:t>[...].</w:t>
      </w:r>
    </w:p>
    <w:p>
      <w:r>
        <w:rPr>
          <w:b/>
        </w:rPr>
        <w:t>E. 7.3.3.4</w:t>
      </w:r>
    </w:p>
    <w:p>
      <w:r>
        <w:t>[...].</w:t>
      </w:r>
    </w:p>
    <w:p>
      <w:r>
        <w:rPr>
          <w:b/>
        </w:rPr>
        <w:t>E. 7.3.4</w:t>
      </w:r>
    </w:p>
    <w:p>
      <w:r>
        <w:t>[...].</w:t>
      </w:r>
    </w:p>
    <w:p>
      <w:r>
        <w:rPr>
          <w:b/>
        </w:rPr>
        <w:t>E. 7.3.5</w:t>
      </w:r>
    </w:p>
    <w:p>
      <w:r>
        <w:t>[...].</w:t>
      </w:r>
    </w:p>
    <w:p>
      <w:r>
        <w:rPr>
          <w:b/>
        </w:rPr>
        <w:t>E. 7.4</w:t>
      </w:r>
    </w:p>
    <w:p>
      <w:r>
        <w:t>[...].</w:t>
      </w:r>
    </w:p>
    <w:p>
      <w:r>
        <w:rPr>
          <w:b/>
        </w:rPr>
        <w:t>E. 7.5</w:t>
      </w:r>
    </w:p>
    <w:p>
      <w:r>
        <w:t>[...].</w:t>
      </w:r>
    </w:p>
    <w:p>
      <w:r>
        <w:rPr>
          <w:b/>
        </w:rPr>
        <w:t>E. 8</w:t>
      </w:r>
    </w:p>
    <w:p>
      <w:r>
        <w:t>En résumé, après réception de *** demandes d'assistance administrative déposées par l'autorité requérante, l'AFC a rendu une décision notifiée à la recourante qui prévoit l'octroi de l'assistance la concernant pour transmettre l'information selon laquelle elle ne disposait pas d'avoirs auprès de la banque A. Sur le fond du recours, dans les limites du pouvoir d'examen du Tribunal (consid. 7.3.1), il ne ressort pas du dossier que le principe de spécialité a été violé par l'autorité requérante (consid. 7.3.3),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7.3.4). Ces questions de nature formelle étant liquidées (consid. 7.3.5), la vraisemblable pertinence de l'information négative selon laquelle la recourante ne disposait pas d'avoirs auprès de la banque A doit être admise (consid. 7.4). Le recours est ainsi rejeté.</w:t>
      </w:r>
    </w:p>
    <w:p>
      <w:r>
        <w:rPr>
          <w:b/>
        </w:rPr>
        <w:t>E. 9.1</w:t>
      </w:r>
    </w:p>
    <w:p>
      <w:r>
        <w:t>Les frais de procédure, qui comprennent l'émolument d'arrêté, les émoluments de chancellerie et les débours, sont, en règle générale, mis à la charge de la partie qui succombe (art. 63 al. 1 PA). Il convient de calculer la répartition des frais sur la base de l'issue de la procédure (arrêt du TAF A-1517/2016 du 17 mars 2016 consid. 2). En l'occurrence, les frais de procédure sont fixés à Fr. 5'000.-. Le droit d'accès au dossier a été admis par l'AFC en cours de procédure devant le Tribunal, tant pour ce qui concerne diverses pièces que pour ce qui est plus particulièrement des demandes d'assistance du *** (let. M, N et consid. 4.3 ci-dessus), ce qui doit être considéré comme un gain de cause sur ce point. Pour le surplus, la recourante succombe. Partant, des frais à raison de Fr. 4'500.- sont mis à la charge de la recourante. Ce montant doit être imputé sur l'avance de frais de Fr. 5'000.- déjà versée par la recourante. Le solde de cette avance, soit Fr. 500.-, lui sera restitué une fois le présent arrêt définitif et exécutoire. Des frais de procédure ne peuvent être mis à la charge de l'AFC (art. 63 al. 2 PA).</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la recourante a ainsi droit à des dépens de Fr. 750.-, qui sont mis à la charge de l'AFC.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