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A-8274/2015 vom 29. August 2016</w:t>
      </w:r>
    </w:p>
    <w:p>
      <w:r>
        <w:t>Bundesverwaltungsgericht, 2016-08-29, FR</w:t>
      </w:r>
    </w:p>
    <w:p>
      <w:r>
        <w:rPr>
          <w:b/>
        </w:rPr>
        <w:t xml:space="preserve">Quelle: </w:t>
      </w:r>
      <w:r>
        <w:t>https://mcp.opencaselaw.ch/entscheid/bvger_A-8274_2015</w:t>
      </w:r>
    </w:p>
    <w:p>
      <w:r>
        <w:t>FR: TAF A-8274/2015 du 29 août 2016</w:t>
      </w:r>
    </w:p>
    <w:p>
      <w:r>
        <w:t>IT: TAF A-8274/2015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 soit après l'entrée en vigueur de la LAAF le 1er février 2013.</w:t>
      </w:r>
    </w:p>
    <w:p>
      <w:r>
        <w:rPr>
          <w:b/>
        </w:rPr>
        <w:t>E. 1.2</w:t>
      </w:r>
    </w:p>
    <w:p>
      <w:r>
        <w:t>En l'occurrence, le recours respecte les exigences formelles (art. 50 al. 1 PA et 52 al. 1 PA). Le recourant dispose en outre de la qualité pour recourir (art. 48 PA et art. 19 al. 2 LAAF). Il y a lieu ainsi d'entrer en matière.</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3.3</w:t>
      </w:r>
    </w:p>
    <w:p>
      <w:r>
        <w:t>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w:t>
      </w:r>
    </w:p>
    <w:p>
      <w:r>
        <w:rPr>
          <w:b/>
        </w:rPr>
        <w:t>E. 3.4</w:t>
      </w:r>
    </w:p>
    <w:p>
      <w:r>
        <w:t>Le motif relatif à ce moyen de droit doit donc être examiné en priorité (ATF 124 I 49 consid. 1; arrêt du TAF A-1414/2015 du 31 mars 2016 consid. 3.1.1).</w:t>
      </w:r>
    </w:p>
    <w:p>
      <w:r>
        <w:rPr>
          <w:b/>
        </w:rPr>
        <w:t>E. 4.1</w:t>
      </w:r>
    </w:p>
    <w:p>
      <w:r>
        <w:t>En l'espèce, [...].</w:t>
      </w:r>
    </w:p>
    <w:p>
      <w:r>
        <w:rPr>
          <w:b/>
        </w:rPr>
        <w:t>E. 4.2</w:t>
      </w:r>
    </w:p>
    <w:p>
      <w:r>
        <w:t>[...].</w:t>
      </w:r>
    </w:p>
    <w:p>
      <w:r>
        <w:rPr>
          <w:b/>
        </w:rPr>
        <w:t>E. 4.3</w:t>
      </w:r>
    </w:p>
    <w:p>
      <w:r>
        <w:t>[...].</w:t>
      </w:r>
    </w:p>
    <w:p>
      <w:r>
        <w:rPr>
          <w:b/>
        </w:rPr>
        <w:t>E. 5.1.1</w:t>
      </w:r>
    </w:p>
    <w:p>
      <w:r>
        <w:t>L'assistance administrative avec les Pays-Bas est régie par l'art. 26 CDI-NL et le chiffre XVI du Protocole à cette même convention (ci-après: Protocole; publié également au RS 0.672.963.61).</w:t>
      </w:r>
    </w:p>
    <w:p>
      <w:r>
        <w:rPr>
          <w:b/>
        </w:rPr>
        <w:t>E. 5.1.2</w:t>
      </w:r>
    </w:p>
    <w:p>
      <w:r>
        <w:t>La CDI-NL et le Protocole s'appliquent à la présente affaire en tant que les demandes d'assistance ici litigieuses, déposées en ***, concernent une période qui court dès le *** (arrêt du TAF A-8400/2015 du 21 mars 2016 consid. 4.1.1).</w:t>
      </w:r>
    </w:p>
    <w:p>
      <w:r>
        <w:rPr>
          <w:b/>
        </w:rPr>
        <w:t>E. 5.2</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dans les conventions de double imposition (arrêt du TF 2C_1174/2014 du 24 septembre 2015 [destiné à la publication] consid. 4.3). L'art. 26 CDI-NL reprend dans les grandes lignes le texte de l'art. 26 dudit Modèle (arrêt du TAF A-8400/2015 du 21 mars 2016 consid. 4.2; Message du 25 août 2010 concernant l'approbation d'une convention entre la Suisse et les Pays-Bas contre les doubles impositions, FF 2010 5243, 5256).</w:t>
      </w:r>
    </w:p>
    <w:p>
      <w:r>
        <w:rPr>
          <w:b/>
        </w:rPr>
        <w:t>E. 5.3</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A-4668/2014, A-4669/2014 du 25 avril 2016 consid. 7.2.4, A-6287/2014 du 20 mars 2015 consid. 7). 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du TF 2C_1174/2014 du 24 septembre 2015 [destiné à la publication] consid. 2.1.3 et 2.4; arrêt du TAF A-4668/2014, A-4669/2014 du 25 avril 2016 consid. 7.2.4).</w:t>
      </w:r>
    </w:p>
    <w:p>
      <w:r>
        <w:rPr>
          <w:b/>
        </w:rPr>
        <w:t>E. 5.4.1</w:t>
      </w:r>
    </w:p>
    <w:p>
      <w:r>
        <w:t>Le ch. XVI let. a) du Protocole prévoit qu'il est entendu que l'Etat requérant formule ses demandes de renseignements uniquement après avoir utilisé tous les moyens de procédure habituels prévus par son droit interne aux fins d'obtenir ces renseignements (principe de subsidiarité; arrêt du TAF A-4668/2014, A-4669/2014 du 25 avril 2016 consid. 7.2.2 et 8.2.3; voir aussi art. 6 al. 2 let. g LAAF). L'emploi, tant dans le Protocole que dans la LAAF, du terme "utilisé", et non du terme "épuisé", tend à réduire la portée du principe de subsidiarité (Aurélia Rappo/Aurélie Tille, Les conditions d'assistance administrative internationale en matière fiscale selon la LAAF, in: RDAF 2013 II p. 1 ss, p. 23 s.), qui n'impose de toute façon pas l'épuisement de l'intégralité des moyens envisageables (arrêts du TAF A-4668/2014, A-4669/2014 du 25 avril 2016 consid. 8.2.3, A-4414/2014 du 8 décembre 2014 consid. 3.1.1). Il n'y a pas nécessairement lieu d'exiger de l'autorité requérante qu'elle démontre qu'elle a interpellé en vain le recourant avant de demander l'assistance de la Suisse (arrêts du TAF A-4668/2014, A-4669/2014 du 25 avril 2016 consid. 8.2.3, A-6708/2014 du 24 septembre 2015 consid. 6.2). Si l'affaire fiscale ayant motivé la demande d'assistance administrative est terminée (erledigt), cette dernière doit être rejetée pour défaut de vraisemblable pertinence des informations requises (consid. 5.5 ci-dessous),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(arrêts du TAF A-6099/2014 du 27 novembre 2015 consid. 2.7 et 3.4, A-6728/2014 du 25 septembre 2015 consid. 9 confirmé par arrêt du TF 2C_955/2015 du 12 novembre 2015, A-7343/2014 du 1er avril 2015 consid. 3).</w:t>
      </w:r>
    </w:p>
    <w:p>
      <w:r>
        <w:rPr>
          <w:b/>
        </w:rPr>
        <w:t>E. 5.4.2</w:t>
      </w:r>
    </w:p>
    <w:p>
      <w:r>
        <w:t>Le ch. XVI let. b) du Protocole énumère les informations à fournir aux autorités fiscales de l'Etat requis lors du dépôt d'une demande de renseignements fondée sur l'art. 26 CDI-NL, notamment (i) l'identité de la personne contrôlée, (ii) la période visée, (iii) une description des renseignements recherchés, (iv) le but fiscal, (v) les références du possesseur des informations.</w:t>
      </w:r>
    </w:p>
    <w:p>
      <w:r>
        <w:rPr>
          <w:b/>
        </w:rPr>
        <w:t>E. 5.4.3</w:t>
      </w:r>
    </w:p>
    <w:p>
      <w:r>
        <w:t>Le ch. XVI let. c) du Protocole dispose notamment que la référence aux renseignements vraisemblablement pertinents a pour but d'assurer un échange de renseignements en matière fiscale qui soit le plus large possible, sans qu'il soit pour autant loisible aux Etats contractants de procéder à une "pêche aux renseignements" ou de demander des renseignements dont il est peu probable qu'ils soient pertinents pour élucider les affaires fiscales d'un contribuable déterminé. Il n'est ainsi pas entré en matière lorsque la demande est déposée à des fins de recherche de preuves (art. 7 let. a LAAF), l'interdiction des "fishing expeditions" correspondant au principe de proportionnalité (art. 5 al. 2 de la Constitution fédérale du 18 avril 1999 de la Confédération suisse [Cst., RS 101]), qui doit être impérativement respecté en tant que principe constitutionnel régissant l'activité de l'Etat (arrêts du TAF A-7111/2014, A-7156/2014, A-7159/2014 du 9 juillet 2015 con-sid. 5.2.5, A-5470/2014 du 18 décembre 2014 consid. 2.2).</w:t>
      </w:r>
    </w:p>
    <w:p>
      <w:r>
        <w:rPr>
          <w:b/>
        </w:rPr>
        <w:t>E. 5.4.4</w:t>
      </w:r>
    </w:p>
    <w:p>
      <w:r>
        <w:t>La CDI-NL ne permet pas d'obtenir des renseignements qui ne pourraient être obtenus sur la base de la législation ou dans le cadre de la pratique administrative normale suisse ou de celles de l'autre Etat contractant (art. 26 par. 3 let. b] CDI-NL). Cette disposition met ainsi en oeuvre le principe de réciprocité. En d'autres termes, les informations ne peuvent être obtenues et transmises que si elles peuvent être obtenues et transmises selon le droit et la pratique administrative des deux Etats contractants (arrêt du TAF A-6843/2014 du 15 septembre 2015 consid. 7.4.1 et les réf. citées).</w:t>
      </w:r>
    </w:p>
    <w:p>
      <w:r>
        <w:rPr>
          <w:b/>
        </w:rPr>
        <w:t>E. 5.4.5</w:t>
      </w:r>
    </w:p>
    <w:p>
      <w:r>
        <w:t>Il n'est pas entré en matière lorsque la demande notamment viole le principe de la bonne foi, par exemple lorsqu'elle se fonde sur des renseignements obtenus par des actes punissables au regard du droit suisse (art. 7 let. c LAAF). Quant aux données volées, il n'est en particulier pas entré en matière sur une demande d'assistance administrative qui se fonde sur une liste de noms qui a été obtenue par des actes punissables au regard du droit suisse (arrêt du TAF A-6843/2014 du 15 septembre 2015 consid. 8.5). Dans cette jurisprudence, certes contestée devant le Tribunal fédéral, le Tribunal de céans a adopté une approche fondée tant sur le principe de la bonne foi mentionné à l'art. 7 al. 1 let. c LAAF que sur l'art. 28 par. 3 let. b) CDI-F (arrêt du TAF A-4668/2014, A-4669/2014 du 25 avril 2016 consid. 7.2.5), ce dernier étant identique à l'art. 26 par. 3 let. b) CDI-NL.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En présence d'une semblable déclaration, il y a lieu de lui conférer une importance particulière, en vertu du principe de la confiance entre Etats. Ce n'est que s'il existe des indices clairs qui la remettent en cause qu'il est possible de s'en distancier (arrêt du TAF A-6843/2014 du 15 septembre 2015 consid. 7.7).</w:t>
      </w:r>
    </w:p>
    <w:p>
      <w:r>
        <w:rPr>
          <w:b/>
        </w:rPr>
        <w:t>E. 5.5.1</w:t>
      </w:r>
    </w:p>
    <w:p>
      <w:r>
        <w:t>Sur le fond, selon l'art. 26 CDI-NL, l'assistance doit être accordée à condition qu'elle porte sur des renseignements vraisemblablement pertinents pour l'application de la CDI-NL ou la législation fiscale interne des Etat contractants. Le Tribunal fédéral a récemment rendu des arrêts précisant les contours de la notion de vraisemblable pertinence, prévue dans les différentes conventions internationales calquées sur le Modèle de convention fiscale de l'OCDE concernant le revenu et la fortune (notamment arrêts du TF 2C_594/2015 du 1er mars 2016 [destiné à la publication], 2C_963/2014 du 24 septembre 2015 [= ATF 141 II 436], 2C_1174/2014 du 24 septembre 2015 [destiné à la publication]).</w:t>
      </w:r>
    </w:p>
    <w:p>
      <w:r>
        <w:rPr>
          <w:b/>
        </w:rPr>
        <w:t>E. 5.5.2</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(arrêt du TF 2C_1174/2014 du 24 septembre 2015 [destiné à la publication] consid. 2.1.1, 2.1.4 et 2.4).</w:t>
      </w:r>
    </w:p>
    <w:p>
      <w:r>
        <w:rPr>
          <w:b/>
        </w:rPr>
        <w:t>E. 5.5.3</w:t>
      </w:r>
    </w:p>
    <w:p>
      <w:r>
        <w:t>La notion de "personne concernée" (art. 3 let. a LAAF) dans son sens matériel découle de l'expression "personnes qui ne sont pas concernées par la demande" figurant à l'art. 4 al. 3 LAAF. L'interprétation de cette norme doit être effectuée à la lumière du critère conventionnel de la pertinence vraisemblable (ATF 141 II 436 consid. 3.3 et 4.5); si des informations concernant une société peuvent être pertinentes (relevant) pour l'imposition du contribuable visé par la demande d'assistance, elles constituent alors à tout le moins des renseignements vraisemblablement pertinents (voraussichtlich erheblich). Tel peut en particulier être le cas si le contribuable visé par la demande domine économiquement la société détentrice des informations (ATF 141 II 436 consid. 4.6, arrêt du TF 2C_594/2015 du 1er mars 2016 [destiné à la publication] consid. 3.1; arrêt du TAF A-4668/2014, A-4669/2014 du 25 avril 2016 consid. 7.4.2). Les informations concernant la personne contrôlée économiquement sont ainsi vraisemblablement pertinentes pour la taxation du contribuable qui fait l'objet d'une procédure de taxation et peuvent dès lors être transmises (arrêts du TF 2C_594/2015 précité consid. 3.2, TF 2C_963/2014 précité [= ATF 141 II 436] consid. 4.6). Il convient, sur la base de l'art. 26 par. 3 CDI-NL, tel qu'encadré par le par. 5 dudit article, de considérer désormais - à tout le moins si des comptes bancaires sont concernés - que l'AFC n'est pas liée par les règles de la procédure fiscale suisse, notamment l'art. 127 de la loi fédérale du 14 décembre 1990 sur l'impôt fédéral direct (LIFD, RS 642.11), compte tenu de la primauté du droit international (arrêts du TF 2C_963/2014 précité [= ATF 141 II 436] consid. 6.1.1, 2C_1174/2014 du 24 septembre 2015 [destiné à la publication] consid. 4.5 s.).</w:t>
      </w:r>
    </w:p>
    <w:p>
      <w:r>
        <w:rPr>
          <w:b/>
        </w:rPr>
        <w:t>E. 5.5.4</w:t>
      </w:r>
    </w:p>
    <w:p>
      <w:r>
        <w:t>L'interdiction de la pêche aux renseignements (consid. 5.4.3 ci-dessus) est ainsi une règle hybride, qui intervient tant au niveau de l'examen de l'entrée en matière que pour interpréter, cas échéant, le sens qu'il convient de conférer aux termes équivoques d'une demande d'assistance administrative (arrêt du TAF A-1414/2015 du 31 mars 2016 consid. 5.2.4 et 6.2.3).</w:t>
      </w:r>
    </w:p>
    <w:p>
      <w:r>
        <w:rPr>
          <w:b/>
        </w:rPr>
        <w:t>E. 5.5.5</w:t>
      </w:r>
    </w:p>
    <w:p>
      <w:r>
        <w:t>Les noms des employés de banque qui n'ont rien à voir avec la question fiscale motivant la demande et apparaissant dans la documentation doivent être caviardés (art. 17 al. 2 LAAF; arrêt du TF 2C_1174/2014 du 25 septembre 2015 [destiné à la publication] consid. 4.6.1 s.). Il est ainsi interdit de transmettre des renseignements concernant des personnes qui "manifestement ne sont pas impliquées dans l'affaire faisant l'objet d'une enquête" (Message du 6 juillet 2011 concernant l'adoption d'une loi sur l'assistance administrative fiscale, FF 5771, 5783).</w:t>
      </w:r>
    </w:p>
    <w:p>
      <w:r>
        <w:rPr>
          <w:b/>
        </w:rPr>
        <w:t>E. 5.5.6.1</w:t>
      </w:r>
    </w:p>
    <w:p>
      <w:r>
        <w:t>Le fait d'avoir une procuration sur un compte n'a, en soi, rien à voir avec la titularité dudit compte ainsi que la propriété des avoirs qui y sont crédités (arrêt du TAF A-5090/2014, A-5135/2014 du 16 avril 2015 consid. 5.3). Toutefois, on ne peut retenir que le nom du titulaire d'une procuration sur un compte n'apparaît que par hasard dans la documentation bancaire. Partant, l'identité des personnes disposant d'une procuration sur un compte dont le contribuable est titulaire doit également être transmise, en tant que cette identité constitue un élément essentiel dans l'examen des flux financiers, de sorte que la vraisemblable pertinence de cette information doit être admise (arrêt du TF 2C_963/2014 du 24 septembre 2015 [= ATF 141 II 436] consid. 6.2; arrêt du TAF A-4668/2014, A-4669/2014 du 25 avril 2016 consid. 7.4.3).</w:t>
      </w:r>
    </w:p>
    <w:p>
      <w:r>
        <w:rPr>
          <w:b/>
        </w:rPr>
        <w:t>E. 5.5.6.2</w:t>
      </w:r>
    </w:p>
    <w:p>
      <w:r>
        <w:t>Par ailleurs, dans l'arrêt du TF 2C_216/2015 du 8 novembre 2015, une société - non visée par un contrôle fiscal - était détenue par une des deux personnes physiques visées par un tel contrôle. Ces deux personnes disposaient d'une procuration sur des comptes de la société. En conséquence, il a été jugé que les informations relatives à ces comptes (Informationen zu diesen Konten) étaient vraisemblablement pertinentes au sens de l'art. 28 par. 1 CDI-F; l'art. 47 de la loi fédérale du 8 novembre 1934 sur les banques (LB, RS 952.0) ne s'opposait pas à la transmission des informations (arrêt du TF 2C_216/2015 du 8 novembre 2015 consid.4.2; arrêts du TAF A-4668/2014, A-4669/2014 du 25 avril 2016 consid. 7.4.3, A-7049/2014 du 19 février 2016 consid. 9).</w:t>
      </w:r>
    </w:p>
    <w:p>
      <w:r>
        <w:rPr>
          <w:b/>
        </w:rPr>
        <w:t>E. 5.5.6.3</w:t>
      </w:r>
    </w:p>
    <w:p>
      <w:r>
        <w:t>A l'inverse, lorsque le nom du bénéficiaire d'une procuration est connu des autorités requérantes, il s'agit de savoir si le nom du détenteur du compte doit leur être communiqué. Le Tribunal de céans a jugé à ce titre qu'il faut considérer que le nom du détenteur dudit compte n'est pas un renseignement dont l'apparition dans la documentation bancaire tient au hasard. L'identité de ce détenteur peut en effet jouer un rôle dans l'examen des flux financiers relatifs à ce compte, de sorte que l'information est vraisemblablement pertinente et peut être transmise à l'autorité requérante (arrêt du TAF A-7049/2014 du 19 février 2016 consid. 9).</w:t>
      </w:r>
    </w:p>
    <w:p>
      <w:r>
        <w:rPr>
          <w:b/>
        </w:rPr>
        <w:t>E. 5.5.6.4</w:t>
      </w:r>
    </w:p>
    <w:p>
      <w:r>
        <w:t>La communication de l'identité du détenteur d'une procuration sur un compte se distingue de la transmission des documents relatifs à la relation bancaire idoine, puisque la communication de la première n'implique pas nécessairement la transmission de la liste des transactions sur des comptes sur lesquels les personnes visées par un contrôle fiscal disposent d'une procuration sans être titulaires (arrêt du TAF A-4668/2014, A-4669/2014 du 25 avril 2016 consid. 8.3.5 et 8.3.8).</w:t>
      </w:r>
    </w:p>
    <w:p>
      <w:r>
        <w:rPr>
          <w:b/>
        </w:rPr>
        <w:t>E. 6.1.1</w:t>
      </w:r>
    </w:p>
    <w:p>
      <w:r>
        <w:t>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spécialité [Spezialitätsvorbehalt]; art. 3 EIMP et 2 let. a CEEJ; ATF 126 II 316 consid. 2b, 125 II 258 consid. 7a/aa, 124 II 184 consid. 4b;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ATF 125 II 250 consid. 2), la simple soustraction fiscale ne donnant pas lieu à l'entraide (ATF 111 Ib 242 consid. 5a; Laurent Moreillon, Entraide internationale en matière pénale, Commentaire romand, 2004, p. 137 n. 709).</w:t>
      </w:r>
    </w:p>
    <w:p>
      <w:r>
        <w:rPr>
          <w:b/>
        </w:rPr>
        <w:t>E. 6.1.2</w:t>
      </w:r>
    </w:p>
    <w:p>
      <w:r>
        <w:t>L'autorité d'exécution doit signaler à l'Etat requérant le principe de spécialité et lui rappeler les limites dans lesquelles les informations communiquées seront utilisées (ATF 128 II 305 consid. 3.1, 122 II 134 consid. 7c/aa, 107 Ib 261 consid. 2, arrêt du TF 1A.272/1999, 1A.273/1999 du 17 janvier 2001 consid. 3b; arrêt du TAF A-7161/2009 du 22 août 2011 consid. 3.6.2.1).</w:t>
      </w:r>
    </w:p>
    <w:p>
      <w:r>
        <w:rPr>
          <w:b/>
        </w:rPr>
        <w:t>E. 6.1.3</w:t>
      </w:r>
    </w:p>
    <w:p>
      <w:r>
        <w:t>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TF 1A.59/2005, 1A.229/2004, 1A.230/2004, 1A.231/2004, 1A.232/2004 du 26 avril 2005 consid. 5.1).</w:t>
      </w:r>
    </w:p>
    <w:p>
      <w:r>
        <w:rPr>
          <w:b/>
        </w:rPr>
        <w:t>E. 6.1.4</w:t>
      </w:r>
    </w:p>
    <w:p>
      <w:r>
        <w:t>Le principe de spécialité veut que l'Etat requérant n'utilise les informations reçues de l'Etat requis qu'à l'égard des personnes et des agissements pour lesquels il les a demandées et pour lesquels elles lui ont été transmises (arrêts du TAF A-6475/2012 du 2 mai 2013 consid. 5.3, A-6011/2012 du 13 mars 2013 consid. 13.3.2). L'émission de la réserve du principe de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TF 1A.161/2000 du 15 juin 2000 let. E, consid. 4g et 5;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TAF A-7161/2009 du 22 août 2011 consid. 3.6.1). 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TF 1A.59/2005, 1A.229/2004, 1A.230/2004, 1A.231/2004, 1A.232/2004 du 26 avril 2005 consid. 5.1; Zimmermann, op. cit., p. 761 n. 732). 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(arrêt du TF 1A.107/2002 du 8 juillet 2002 consid. 1.2; arrêt du TPF RR.2014.245-250 du 27 janvier 2015 consid. 3.2).</w:t>
      </w:r>
    </w:p>
    <w:p>
      <w:r>
        <w:rPr>
          <w:b/>
        </w:rPr>
        <w:t>E. 6.2</w:t>
      </w:r>
    </w:p>
    <w:p>
      <w:r>
        <w:t>La violation prétendue du principe de spécialité par l'Etat requérant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w:t>
      </w:r>
    </w:p>
    <w:p>
      <w:r>
        <w:rPr>
          <w:b/>
        </w:rPr>
        <w:t>E. 7.1.1</w:t>
      </w:r>
    </w:p>
    <w:p>
      <w:r>
        <w:t>En l'espèce, [...].</w:t>
      </w:r>
    </w:p>
    <w:p>
      <w:r>
        <w:rPr>
          <w:b/>
        </w:rPr>
        <w:t>E. 7.1.2</w:t>
      </w:r>
    </w:p>
    <w:p>
      <w:r>
        <w:t>[...].</w:t>
      </w:r>
    </w:p>
    <w:p>
      <w:r>
        <w:rPr>
          <w:b/>
        </w:rPr>
        <w:t>E. 7.2.1</w:t>
      </w:r>
    </w:p>
    <w:p>
      <w:r>
        <w:t>[...].</w:t>
      </w:r>
    </w:p>
    <w:p>
      <w:r>
        <w:rPr>
          <w:b/>
        </w:rPr>
        <w:t>E. 7.2.2</w:t>
      </w:r>
    </w:p>
    <w:p>
      <w:r>
        <w:t>[...].</w:t>
      </w:r>
    </w:p>
    <w:p>
      <w:r>
        <w:rPr>
          <w:b/>
        </w:rPr>
        <w:t>E. 7.3</w:t>
      </w:r>
    </w:p>
    <w:p>
      <w:r>
        <w:t>[...].</w:t>
      </w:r>
    </w:p>
    <w:p>
      <w:r>
        <w:rPr>
          <w:b/>
        </w:rPr>
        <w:t>E. 7.3.1</w:t>
      </w:r>
    </w:p>
    <w:p>
      <w:r>
        <w:t>[...].</w:t>
      </w:r>
    </w:p>
    <w:p>
      <w:r>
        <w:rPr>
          <w:b/>
        </w:rPr>
        <w:t>E. 7.3.2.1</w:t>
      </w:r>
    </w:p>
    <w:p>
      <w:r>
        <w:t>[...].</w:t>
      </w:r>
    </w:p>
    <w:p>
      <w:r>
        <w:rPr>
          <w:b/>
        </w:rPr>
        <w:t>E. 7.3.2.2</w:t>
      </w:r>
    </w:p>
    <w:p>
      <w:r>
        <w:t>[...].</w:t>
      </w:r>
    </w:p>
    <w:p>
      <w:r>
        <w:rPr>
          <w:b/>
        </w:rPr>
        <w:t>E. 7.3.2.3</w:t>
      </w:r>
    </w:p>
    <w:p>
      <w:r>
        <w:t>[...].</w:t>
      </w:r>
    </w:p>
    <w:p>
      <w:r>
        <w:rPr>
          <w:b/>
        </w:rPr>
        <w:t>E. 7.3.2.4</w:t>
      </w:r>
    </w:p>
    <w:p>
      <w:r>
        <w:t>[...].</w:t>
      </w:r>
    </w:p>
    <w:p>
      <w:r>
        <w:rPr>
          <w:b/>
        </w:rPr>
        <w:t>E. 7.3.3</w:t>
      </w:r>
    </w:p>
    <w:p>
      <w:r>
        <w:t>[...].</w:t>
      </w:r>
    </w:p>
    <w:p>
      <w:r>
        <w:rPr>
          <w:b/>
        </w:rPr>
        <w:t>E. 7.4</w:t>
      </w:r>
    </w:p>
    <w:p>
      <w:r>
        <w:t>[...].</w:t>
      </w:r>
    </w:p>
    <w:p>
      <w:r>
        <w:rPr>
          <w:b/>
        </w:rPr>
        <w:t>E. 7.4.1</w:t>
      </w:r>
    </w:p>
    <w:p>
      <w:r>
        <w:t>[...].</w:t>
      </w:r>
    </w:p>
    <w:p>
      <w:r>
        <w:rPr>
          <w:b/>
        </w:rPr>
        <w:t>E. 7.4.2</w:t>
      </w:r>
    </w:p>
    <w:p>
      <w:r>
        <w:t>[...].</w:t>
      </w:r>
    </w:p>
    <w:p>
      <w:r>
        <w:rPr>
          <w:b/>
        </w:rPr>
        <w:t>E. 7.4.3</w:t>
      </w:r>
    </w:p>
    <w:p>
      <w:r>
        <w:t>[...].</w:t>
      </w:r>
    </w:p>
    <w:p>
      <w:r>
        <w:rPr>
          <w:b/>
        </w:rPr>
        <w:t>E. 7.5</w:t>
      </w:r>
    </w:p>
    <w:p>
      <w:r>
        <w:t>[...].</w:t>
      </w:r>
    </w:p>
    <w:p>
      <w:r>
        <w:rPr>
          <w:b/>
        </w:rPr>
        <w:t>E. 8</w:t>
      </w:r>
    </w:p>
    <w:p>
      <w:r>
        <w:t>En résumé, après réception de *** demandes d'assistance administrative déposées par l'autorité requérante, l'AFC a rendu une décision notifiée au recourant qui prévoit l'octroi de l'assistance le concernant pour transmettre des informations du compte B et du compte C en tant qu'il est titulaire d'une procuration sur ces comptes (let. J.a.b). Sur le fond du recours, dans les limites du pouvoir d'examen du Tribunal (consid. 7.3.1), il ne ressort pas du dossier que le principe de spécialité a été violé par l'autorité requérante (consid. 7.3.3), en tant qu'une procédure pénale est conduite (let. A ci-dessus) parallèlement à une procédure fiscale. Ainsi, peut rester ouverte la question des conséquences, en assistance administrative internationale en matière fiscale, d'une violation d'un tel principe, notamment au regard de la jurisprudence relative aux données volées et à l'art. 26 ch. 3 let. b) CDI-NL (consid. 7.3.4). Ces questions de nature formelle étant liquidées (consid. 7.3.5), le Tribunal relève que si la demande d'assistance dirigée contre le recourant ne mentionne pas explicitement le compte B, au contraire de la demande dirigée contre d'autres intéressés, cela ne saurait avoir pour conséquence, vu les faits allégués, de priver l'Etat requérant de la possibilité de faire usage des informations du compte B contre le recourant, qui a eu accès à cette dernière demande (consid. 7.4.1). Au surplus, la demande dirigée contre le recourant vise bien les informations du compte C, même si ni B._______, ni les références de ce compte ne figurent dans la demande idoine (consid. 7.4.2). Enfin, il faut retenir la vraisemblable pertinence informations du compte C, ce qui vaut aussi pour le compte B d'ailleurs. En effet, même si le recourant, sujet d'une procédure fiscale néerlandaise, au contraire de B._______, n'est que titulaire d'une procuration, l'examen des flux financiers qui passeraient par le compte C relève des prérogatives de l'autorité requérante (consid. 7.4.3). Le recours est ainsi rejeté.</w:t>
      </w:r>
    </w:p>
    <w:p>
      <w:r>
        <w:rPr>
          <w:b/>
        </w:rPr>
        <w:t>E. 9.1</w:t>
      </w:r>
    </w:p>
    <w:p>
      <w:r>
        <w:t>Les frais de procédure, qui comprennent l'émolument d'arrêté, les émoluments de chancellerie et les débours, sont, en règle générale, mis à la charge de la partie qui succombe (art. 63 al. 1 PA). Il convient de calculer la répartition des frais sur la base de l'issue de la procédure (arrêt du TAF A-1517/2016 du 17 mars 2016 consid. 2). En l'occurrence, les frais de procédure sont fixés à Fr. 5'000.-. Le droit d'accès au dossier a été admis par l'AFC en cours de procédure devant le Tribunal, tant pour ce qui concerne diverses pièces que pour ce qui est plus particulièrement des demandes d'assistance du *** (let. L, M et consid. 4.3 ci-dessus), ce qui doit être considéré comme un gain de cause sur ce point. Pour le surplus, le recourant succombe. Partant, des frais à raison de Fr. 4'500.- sont mis à la charge du recourant. Ce montant doit être imputé sur l'avance de frais de Fr. 5'000.- déjà versée par le recourant. Le solde de cette avance, soit Fr. 500.-, lui sera restitué une fois le présent arrêt définitif et exécutoire. Des frais de procédure ne peuvent être mis à la charge de l'AFC (art. 63 al. 2 PA).</w:t>
      </w:r>
    </w:p>
    <w:p>
      <w:r>
        <w:rPr>
          <w:b/>
        </w:rPr>
        <w:t>E. 9.2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Les dépens sont fixés sur la base du dossier (arrêts du TAF A-7076/2014 du 1er avril 2015 consid. 5, A-7401/2014 du 24 mars 2015 consid. 6) à Fr. 7'500.-. Selon la base de calcul évoquée ci-dessus, le recourant a ainsi droit à des dépens de Fr. 750.-, qui sont mis à la charge de l'AFC. Une indemnité à titre de dépens n'est pas allouée à l'AFC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