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A-8272/2008 vom 14. Januar 2010</w:t>
      </w:r>
    </w:p>
    <w:p>
      <w:r>
        <w:t>Bundesverwaltungsgericht, 2010-01-14, DE</w:t>
      </w:r>
    </w:p>
    <w:p>
      <w:r>
        <w:rPr>
          <w:b/>
        </w:rPr>
        <w:t xml:space="preserve">Quelle: </w:t>
      </w:r>
      <w:r>
        <w:t>https://mcp.opencaselaw.ch/entscheid/bvger_A-8272_2008</w:t>
      </w:r>
    </w:p>
    <w:p>
      <w:r>
        <w:t>FR: TAF A-8272/2008 du 14 janvier 2010</w:t>
      </w:r>
    </w:p>
    <w:p>
      <w:r>
        <w:t>IT: TAF A-8272/2008 del 14 gennaio 2010</w:t>
      </w:r>
    </w:p>
    <w:p>
      <w:pPr>
        <w:pStyle w:val="Heading2"/>
      </w:pPr>
      <w:r>
        <w:t>Regeste</w:t>
      </w:r>
    </w:p>
    <w:p>
      <w:r>
        <w:t>Staatshaftung (Bund)</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VwVG. Weil keine Ausnahme nach Art. 32 VGG vorliegt und das VBS eine Vorinstanz nach Art. 33 Bst. d VGG ist, ist das Bundesverwaltungsgericht zur Beurteilung der vorliegenden Beschwerde zuständig.</w:t>
      </w:r>
    </w:p>
    <w:p>
      <w:r>
        <w:rPr>
          <w:b/>
        </w:rPr>
        <w:t>E. 1.2</w:t>
      </w:r>
    </w:p>
    <w:p>
      <w:r>
        <w:t>Die Beschwerde wurde form- und fristgerecht eingereicht und der Beschwerdeführer ist zur Beschwerde legitimiert (Art. 48 Abs. 1, 50 Abs. 1 und 52 Abs. 1 VwVG). Es ist folglich darauf einzutreten.</w:t>
      </w:r>
    </w:p>
    <w:p>
      <w:r>
        <w:rPr>
          <w:b/>
        </w:rPr>
        <w:t>E. 1.3</w:t>
      </w:r>
    </w:p>
    <w:p>
      <w:r>
        <w:t>Gemäss Art. 23 Ziff.1 Bst. a des Verwaltungsgerichtsgesetzes vom 17. Juni 2005 (VGG, SR 173.32) entscheidet die Instruktionsrichterin als Einzelrichterin über die Abschreibung von gegenstandslos gewordenen Verfahren. Dies gilt auch für Verfahren, die durch Vergleich erledigt werden (Abschreibungsentscheide des BVGer B-489/2007 und B-813/2007 vom 19. Februar 2008 sowie A-1789/2006 vom 31. Oktober 2007 E. 1.3). Die Abschreibung des vorliegenden Verfahrens erfolgt somit durch die Einzelrichterin.</w:t>
      </w:r>
    </w:p>
    <w:p>
      <w:r>
        <w:rPr>
          <w:b/>
        </w:rPr>
        <w:t>E. 2.1</w:t>
      </w:r>
    </w:p>
    <w:p>
      <w:r>
        <w:t>Art. 33b VwVG, welcher im Rahmen der Justizreform ins VwVG aufgenommen wurde, sieht vor, dass die Behörde das Verfahren im Einverständnis mit den Parteien sistieren kann, damit sich diese über den Inhalt einer Verfügung einigen, d.h. einen Vergleich - eine "durch gegenseitige Zugeständnisse zustande gekommene vertragliche Beseitigung eines Streits oder einer Unsicherheit über ein bestehendes Rechtsverhältnis" - (August Mächler, Vertrag und Verwaltungsrechtspflege, Zürich 2005, § 11 Rz. 1 und 4) abschliessen können. Die Zulässigkeit des Abschlusses eines Vergleichs ist für das Gebiet des Staatshaftungsrechts anerkannt (Mächler, a.a.O., §12 Rz. 39 und 45; Tobias Jaag, in Koller/Müller/Rhinow/Zimmerli, Schweizerisches Bundesverwaltungsrecht, Band I, Organisationsrecht, Teil 3, Staats- und Beamtenhaftung, 2.A., Basel 2006, Rz. 188; Abschreibungsentscheide des Bundesverwaltungsgerichts A-1789/2006 vom 31. Oktober 2007 E. 2.1und A-1792/2006 vom 27. Feb­ruar 2008). Eine Sistierung war vorliegendenfalls nicht erforderlich, da die Fristerstreckung genügte.</w:t>
      </w:r>
    </w:p>
    <w:p>
      <w:r>
        <w:rPr>
          <w:b/>
        </w:rPr>
        <w:t>E. 2.2</w:t>
      </w:r>
    </w:p>
    <w:p>
      <w:r>
        <w:t>Da der Beschwerdeführer verbeiratet ist, ist für den Abschluss des vorliegenden Vergleichs sowohl die Mitwirkung des Beirats (Art. 395 Abs. 1 Ziff. 1 des Schweizerischen Zivilgesetzbuchs vom 10. De­zember 1907 [ZGB, SR 210]) als auch die Zustimmung der Vormund­schaftsbehörde (Art. 421 Ziff. 8 ZGB) erforderlich. Mit der Unter­zeichnung der Prozessvollmacht durch den Beirat (...) und die Vormundschaftsbehörde (...) am 8. Januar 2007 und der Zustimmung des Gemeinderats (...) vom 26. November 2009, welche durch das eingereichte Protokoll belegt ist, sind diese for­mellen Erfordernisse gegeben.</w:t>
      </w:r>
    </w:p>
    <w:p>
      <w:r>
        <w:rPr>
          <w:b/>
        </w:rPr>
        <w:t>E. 2.3</w:t>
      </w:r>
    </w:p>
    <w:p>
      <w:r>
        <w:t>Nach Art. 33b Abs. 1 VwVG soll die Einigung einschliessen, dass die Parteien auf Rechtsmittel verzichten und wie sie die Kosten verteilen. Ziffer 2 des Vergleichs enthält in der abgeänderten Formulierung sowohl eine Kostenregelung als auch den Rechtsmittelverzicht.</w:t>
      </w:r>
    </w:p>
    <w:p>
      <w:r>
        <w:rPr>
          <w:b/>
        </w:rPr>
        <w:t>E. 3.1</w:t>
      </w:r>
    </w:p>
    <w:p>
      <w:r>
        <w:t>Die Behörde macht nach Art. 33b Abs. 4 VwVG die Einigung zum Inhalt ihrer Verfügung, es sei denn, die Einigung leide an einem Mangel nach Art. 49 VwVG. Dies bedeutet, dass das Gericht sich zu vergewissern hat, dass die Einigung kein Bundesrecht verletzt, auf einer richtigen und vollständigen Feststellung des Sachverhalts beruht und das Verhältnismässigkeitsprinzip wahrt (André Moser/Michael Beusch/Lorenz Kneubühler, Prozessieren vor dem Bundesver­waltungsgericht, Basel 2008, S. 35 Rz. 2.35; Thomas Pfisterer, in: Auer/Müller/Schindler [Hrsg.], Kommentar zum Bundesgesetz über das Verwaltungsverfahren [VwVG], Zürich 2008, Rz. 38 zu Art. 33b; Karine Siegwart, in: Praxiskommentar VwVG, Waldmann/Weissenberger [Hrsg.], Zürich 2009, Art. 33b N 64; Bericht des Bundesamtes für Justiz, zitiert im Bericht der Kommission für Rechtsfragen des Ständerats vom 2. Juli 2007 zur Parlamentarischen Initiative von Carlo Schmid-Sutter [Aufhebung von Art. 33B VwVG; 05.442 s], S. 3; aufgeschaltet auf der Webseite der Kommission für Rechtsfragen). Im Staatshaftungsrecht erscheint eine solche Streiterledigung insbesondere zulässig, solange das Ergebnis in Anbetracht der Umstände sachlich vertretbar und mit dem Grundsatz der Rechtsgleichheit vereinbar ist (Jaag, a.a.O., Rz. 188).</w:t>
      </w:r>
    </w:p>
    <w:p>
      <w:r>
        <w:rPr>
          <w:b/>
        </w:rPr>
        <w:t>E. 3.2</w:t>
      </w:r>
    </w:p>
    <w:p>
      <w:r>
        <w:t>Mit Ziffer 1 des Vergleichs, wonach das VBS dem Beschwerdeführer ohne Anerkennung einer Rechtspflicht Fr. (...) bezahlt, sind die in E. 3.1 genannten Kriterien, deren Einhaltung das Gericht zu überprüfen hat, gewahrt. Insbesondere ist der Sachverhalt mittels des Augenscheins vom 23. Juni 2009 und des Gutachtens von Frau Prof. Y._______ umfassend abgeklärt worden. Die vereinbarte Summe wahrt das Prinzip der Verhältnismässigkeit. Der Vergleich ist auch bezüglich Kosten- und Entschädigungsfolge zulässig; zur Begründung wird auf die Zwischenverfügung vom 16. De­zember 2009 verwiesen. Die Vereinbarung kann somit zum Inhalt der Verfügung gemacht werden.</w:t>
      </w:r>
    </w:p>
    <w:p>
      <w:r>
        <w:rPr>
          <w:b/>
        </w:rPr>
        <w:t>E. 3.3</w:t>
      </w:r>
    </w:p>
    <w:p>
      <w:r>
        <w:t>Nach Art. 33b Abs. 4 VwVG werden, wenn zwischen den Parteien eine gütliche Einigung zu Stande kommt, keine Verfahrens­kosten erhoben (Christine Guy-Ecabert, La médiation dans les lois fédérales de procédure civile, penale et administrative: petite histoire d'un pari sur l'indépendance, Aktuelle Juristische Praxis [AJP] 2009 S. 66 Rz. 30; Moser/Beusch/Kneubühler, a.a.O., S. 36 Rz. 2.35; Siegwart, a.a.O., N 78 zu Art. 33b VwvG). Unter Verfahrenskosten sind nach Art. 63 Abs. 1 VwVG i. V. m. Art. 1 Abs. 1 und 3 des Reglements vom 21. Februar 2008 über die Kosten und Entschädigungen vor dem Bundesverwaltungsgericht (VGKE, SR 173.320.2) auch die Kosten für die Beweiserhebung, somit auch die Kosten für das Gutachten zu verstehen. Somit werden keine Kosten erhoben, auch nicht für das Gutachten von Frau Prof. Y._______.</w:t>
      </w:r>
    </w:p>
    <w:p>
      <w:r>
        <w:rPr>
          <w:b/>
        </w:rPr>
        <w:t>E. 3.4</w:t>
      </w:r>
    </w:p>
    <w:p>
      <w:r>
        <w:t>Nach Art. 65 Abs. 3 bestimmt sich die Haftung für Kosten und Honorar des amtlich bestellten Anwalts nach den Art. 64 Abs. 2 - 4 VwVG. Nach Art. 65 Abs. 3 i. V. m. Art. 64 Abs. 2 VwVG tritt bei Ob­siegen der amtlich vertretenen Partei anstelle des Honorars eines amtlich bestellten Vertreters die Parteientschädigung - wie in den Fällen gewillkürter Vertretung -, welche von der Körperschaft oder autonomen Anstalt zu bezahlen ist, in deren Namen die Vorinstanz verfügt hat. Sofern die amtlich vertretene Partei jedoch unterliegt, wird ihr Anwalt aus der Gerichtskasse entschädigt. Bei teilweisem Unter­liegen erfolgt eine entsprechende Reduktion der Parteientschädigung und die Differenz zwischen dieser und den Kosten des amtlichen Ver­treters wird auf die Gerichtskasse genommen (Martin Kayser, in: Auer/Müller/Schindler [Hrsg.], Kommentar zum Bundesgesetz über das Verwaltungsverfahren [VwVG], Zürich 2008, Rz. 38 zu Art. 65).</w:t>
      </w:r>
    </w:p>
    <w:p>
      <w:r>
        <w:rPr>
          <w:b/>
        </w:rPr>
        <w:t>E. 3.5</w:t>
      </w:r>
    </w:p>
    <w:p>
      <w:r>
        <w:t>Parteientschädigung und Entschädigung des amtlich bestellten Anwalts werden nach den gleichen Ansätzen berechnet (Art. 12 VGKE). Der Stundensatz beträgt für Anwälte und Anwältinnen mind. Fr. 200.00 und höchstens Fr. 400.00 (Art. 10 Abs. 2 VGKE). Die Parteien, die Anspruch auf eine Parteientschädigung erheben, und die amtlich bestellten Anwälte und Anwältinnen haben dem Gericht vor dem Entscheid eine detaillierte Kostennote einzureichen. Das Gericht setzt die Entschädigungen aufgrund der Kostennote fest (Art. 14 VGKE). Der Vertreter des Beschwerdeführers hat dem Gericht eine Kostennote eingereicht. Der darin geltend gemachte Aufwand und der Stundensatz erscheinen angemessen, weshalb die Entschädigung auf Fr. (...) (inkl. MWST und Auslagen) festzusetzen ist. Von diesem Betrag hat das VBS gemäss der abgeänderten Ziffer 2 des Vergleichs dem Beschwerdeführer Fr. (...) als Parteientschädigung zu bezahlen, was dem Verhältnis der von diesem ursprünglich verlangten Summe von insgesamt etwas mehr als Fr. (...) zum erhaltenen Betrag von Fr. (...) entspricht. Der Restbetrag von Fr. (...) ist dem Vertreter des Beschwerdeführers aus der Gerichtskasse zu entrichten. Diesen Betrag hat der Beschwerdeführer dem Bundes­verwaltungsgericht zurückzuerstatten, sollte er später zu hinrei­chen­den Mitteln gelangen (Art. 65 Abs. 4 VwVG). 4.Die Parteien haben auf die Einreichung eines Rechtsmittels gegen diesen Entscheid verzichtet (E. 2.3).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