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A-824/2014 vom 21. Oktober 2014</w:t>
      </w:r>
    </w:p>
    <w:p>
      <w:r>
        <w:t>Bundesverwaltungsgericht, 2014-10-21, DE</w:t>
      </w:r>
    </w:p>
    <w:p>
      <w:r>
        <w:rPr>
          <w:b/>
        </w:rPr>
        <w:t xml:space="preserve">Quelle: </w:t>
      </w:r>
      <w:r>
        <w:t>https://mcp.opencaselaw.ch/entscheid/bvger_A-824_2014</w:t>
      </w:r>
    </w:p>
    <w:p>
      <w:r>
        <w:t>FR: TAF A-824/2014 du 21 octobre 2014</w:t>
      </w:r>
    </w:p>
    <w:p>
      <w:r>
        <w:t>IT: TAF A-824/2014 del 21 ottobre 2014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rügt einen Beschwerdeentscheid der OZD betreffend Nachforderung von Zollabgaben und Einfuhrsteuern. Das Bundesverwaltungsgericht ist zur Beurteilung dieser Beschwerde sachlich und funktionell zuständig (Art. 32 VGG e contrario sowie Art. 31 i.V.m. Art. 33 Bst. d VGG). Der Beschwerdeführer ist zur Beschwerdeführung berechtigt (Art. 48 VwVG). Er hat die Beschwerde frist- und formgerecht eingereicht (Art. 50 und 52 VwVG) und den Kostenvorschuss rechtzeitig bezahlt (Art. 63 Abs. 4 VwVG). Auf die Beschwerde ist demnach - unter Vorbehalt der Einschränkungen gemäss E. 1.3 - einzutreten.</w:t>
      </w:r>
    </w:p>
    <w:p>
      <w:r>
        <w:rPr>
          <w:b/>
        </w:rPr>
        <w:t>E. 1.3.1</w:t>
      </w:r>
    </w:p>
    <w:p>
      <w:r>
        <w:t>Anfechtungsobjekt im Verfahren vor Bundesverwaltungsgericht bildet ausschliesslich der vorinstanzliche Entscheid, vorliegend der Entscheid der OZD vom 17. Januar 2014. Dieser ersetzt aufgrund des im verwaltungsinternen Instanzenzug geltenden Devolutiveffekts allfällige Entscheide unterer Instanzen, so dass letztere nicht mehr anfechtbar sind (vgl. BGE 134 II 142 E. 1.4; statt vieler: Urteil des Bundesverwaltungsgerichts A-5127/2013 vom 13. März 2014 E. 1.2). Auf den Antrag, die Nachforderungsverfügung (der Eidgenössischen Zollverwaltung) vom 31. Oktober 2011 sei aufzuheben, ist deshalb nicht einzutreten.</w:t>
      </w:r>
    </w:p>
    <w:p>
      <w:r>
        <w:rPr>
          <w:b/>
        </w:rPr>
        <w:t>E. 1.3.2</w:t>
      </w:r>
    </w:p>
    <w:p>
      <w:r>
        <w:t>Gemäss Art. 25 Abs. 2 VwVG ist dem Begehren um Erlass einer Feststellungsverfügung zu entsprechen, wenn der Gesuchsteller ein entsprechendes schutzwürdiges Interesse nachweist. Der Anspruch auf Erlass einer Feststellungsverfügung ist subsidiär gegenüber rechtsgestaltenden Verfügungen (BGE 137 II 199 E. 6.5, BGE 126 II 300 E. 2c; BVGE 2010/12 E. 2.3, BVGE 2007/24 E. 1.3). Mit dem Antrag, der vorinstanzliche Entscheid sei aufzuheben, stellt der Beschwerdeführer ein umfassendes Leistungsbegehren, weil bei allfälliger Gutheissung dieses Antrages die Nachleistungspflicht ohne Weiteres entfällt. Auf den Antrag "von einer Nachforderung gegenüber A._______, X._______, in Bezug auf die von B._______, Inhaber der Firma "Y._______" gekauften Lebensmittel sei vollumfänglich abzusehen", der wohl sinngemäss einem Feststellungsbegehren entspricht, ist daher mangels Feststellungsinteresse nicht einzutreten.</w:t>
      </w:r>
    </w:p>
    <w:p>
      <w:r>
        <w:rPr>
          <w:b/>
        </w:rPr>
        <w:t>E. 1.3.3</w:t>
      </w:r>
    </w:p>
    <w:p>
      <w:r>
        <w:t>Der Streitgegenstand im Verfahren vor dem Bundesverwaltungsgericht wird durch den Beschwerdeantrag bestimmt. Sofern das Beschwerdebegehren lediglich auf Aufhebung oder Änderung der angefochtenen Verfügung lautet, muss auf die Beschwerdebegründung zurück gegriffen werden, um nach Treu und Glauben zu ermitteln, was nach dem massgeblichen Willen der beschwerdeführenden Partei Streitgegenstand ist (Moser/Beusch/Kneubühler, Prozessieren vor dem Bundesverwaltungsgericht, Basel 2013, Rz. 2.213). Der Beschwerdeführer beantragt die vollumfängliche Aufhebung des angefochtenen Beschwerdeentscheides, mit welchem die Vorinstanz die Beschwerde gegen die Nachforderungsverfügung zwar abwies, gleichzeitig aber das Verfahren in Bezug auf die Abgaben, welche auf der Einfuhr der alkoholischen Getränke lasten, bis zum Entscheid der Eidgenössischen Alkoholverwaltung über die Monopolgebühren sistierte. In seiner Beschwerdebegründung setzt sich der Beschwerdeführer nicht mit der Frage der teilweisen Sistierung des Verfahrens durch die Vorinstanz auseinander, verlangt auch nicht implizit deren Aufhebung. Das Beschwerdebegehren ist daher nach Treu und Glauben in dem Sinne auszulegen, dass der Streitgegenstand auf die Nachforderung der auf den Fleisch- und Wurstwaren lastenden Zollabgaben und Einfuhrsteuern zu beschränken ist. Über die Nachforderung der auf den alkoholischen Getränken lastenden Abgaben wird dagegen die Vorinstanz nach dem Entscheid der Eidgenössischen Alkoholverwaltung über die Monopolgebühren noch separat zu befinden haben.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Bst. a bis c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Bundesverwaltungsgerichts A-5116/2011 vom 31. Juli 2013 E. 1.4).</w:t>
      </w:r>
    </w:p>
    <w:p>
      <w:r>
        <w:rPr>
          <w:b/>
        </w:rPr>
        <w:t>E. 1.6</w:t>
      </w:r>
    </w:p>
    <w:p>
      <w:r>
        <w:t>Zur Bestimmung des anwendbaren materiellen Rechts sind gemäss dem allgemeinen intertemporalrechtlichen Grundsatz in zeitlicher Hinsicht diejenigen Rechtssätze relevant, die bei der Verwirklichung des zu Rechtsfolgen führenden Sachverhaltes in Geltung standen (BGE 119 Ib 103 E. 5; BVGE 2007/25 E. 3.1). Der vorliegend zu beurteilende Sachverhalt hat sich im Zeitraum von Februar 2008 bis 11. Juni 2010 verwirklicht. Somit ist das am 1. Mai 2007 in Kraft getretene ZG und die Zollverordnung vom 1. November 2006 (ZV, SR 631.01) anwendbar. Für die vor dem 31. Dezember 2009 erfolgten Einfuhren finden sodann das Mehrwertsteuergesetz vom 2. September 1999 (aMWSTG, AS 2000 1300) und die Verordnung vom 29. März 2000 zum aMWSTG [aMWSTGV, AS 2000 1347]) Anwendung und für den Zeitraum danach das seit dem 1. Januar 2010 geltende Mehrwertsteuergesetz vom 12. Juni 2009 (MWSTG, SR 641.20) und die Mehrwertsteuerverordnung vom 27. November 2009 (MWSTV, SR 641.201).</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(Michael Beusch in: Kocher/Clavadetscher [Hrsg.], Stämpflis Handkommentar Zollgesetz, 2009, Art. 70 N. 4). Im Weiteren sind es die Personen, die zur Zollanmeldung verpflichtet oder damit beauftragt sind (Bst. b) sowie diejenigen, auf deren Rechnung die Waren ein- oder ausgeführt werden (Bst. c). Die Zollschuldnerinnen und Zollschuldner haften für die Zollschuld solidarisch. Der Rückgriff unter ihnen richtet sich nach dem Obligationenrecht (Art. 70 Abs. 3 ZG).</w:t>
      </w:r>
    </w:p>
    <w:p>
      <w:r>
        <w:rPr>
          <w:b/>
        </w:rPr>
        <w:t>E. 2.2.1</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2.2.2</w:t>
      </w:r>
    </w:p>
    <w:p>
      <w:r>
        <w:t>Eine generelle Abnahmebereitschaft hat das Bundesgericht zum Beispiel in einem Fall bejaht, in welchem der Erstabnehmer in der Schweiz über einen Zeitraum von fünf Jahren regelmässig unverzollte Fleischwaren einkaufte,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w:t>
      </w:r>
    </w:p>
    <w:p>
      <w:r>
        <w:rPr>
          <w:b/>
        </w:rPr>
        <w:t>E. 2.3</w:t>
      </w:r>
    </w:p>
    <w:p>
      <w:r>
        <w:t>Wer sich oder einem anderen einen unrechtmässigen Zoll- oder Steuervorteil verschafft, insbesondere indem er vorsätzlich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2.4</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2.4.1</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A-4425/2013 vom 9. September 2014 E. 5.5.2, A-5115/2011 vom 5. Juli 2012 E. 2.4.2).</w:t>
      </w:r>
    </w:p>
    <w:p>
      <w:r>
        <w:rPr>
          <w:b/>
        </w:rPr>
        <w:t>E. 2.4.2</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Michael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A-3410/2012 vom 21. Januar 2013 E. 2.4.2, A-6977/2009 vom 29. No­vember 2010 E. 4.2).</w:t>
      </w:r>
    </w:p>
    <w:p>
      <w:r>
        <w:rPr>
          <w:b/>
        </w:rPr>
        <w:t>E. 2.4.3</w:t>
      </w:r>
    </w:p>
    <w:p>
      <w:r>
        <w:t>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Bundesverwaltungsgerichts A-1680/2009 vom 14. Februar 2011 E. 5.6).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Bundesverwaltungsgerichts A-6427/2012 vom 17. Februar 2014 E. 6.2.4, A-2822/2007 vom 21. November 2009 E. 3.2, A-1690/2006 vom 13. April 2007 E. 3.2).</w:t>
      </w:r>
    </w:p>
    <w:p>
      <w:r>
        <w:rPr>
          <w:b/>
        </w:rPr>
        <w:t>E. 2.5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A-2963/2012 vom 12. März 2013 E. 2.5, A-517/2012 vom 9. Januar 2013 E. 1.3.1).</w:t>
      </w:r>
    </w:p>
    <w:p>
      <w:r>
        <w:rPr>
          <w:b/>
        </w:rPr>
        <w:t>E. 3</w:t>
      </w:r>
    </w:p>
    <w:p>
      <w:r>
        <w:t>Im vorliegenden Fall ist unbestritten, dass der Beschwerdeführer im Zeitraum vom 10. Februar 2008 bis zum 11. Juni 2010 insgesamt 732 kg (netto) unverzollt und unversteuert in die Schweiz eingeführte Fleisch- und Wurstwaren zu einem Gesamtpreis von Fr. 13'446.-- von B._______ bezogen hat.</w:t>
      </w:r>
    </w:p>
    <w:p>
      <w:r>
        <w:rPr>
          <w:b/>
        </w:rPr>
        <w:t>E. 3.1</w:t>
      </w:r>
    </w:p>
    <w:p>
      <w:r>
        <w:t>Indem B._______ Fleisch- und Wurstwaren bei der Einfuhr nicht zur Zollbehandlung angemeldet hat, hat er eine Widerhandlung gegen die Zoll- und Mehrwertsteuergesetzgebung und damit einen Verstoss gegen die Verwaltungsgesetzgebung des Bundes begangen (E. 2.3). Folglich sind die hinterzogenen Abgaben gemäss Art. 12 Abs. 1 VStrR nachzuentrichten (E. 2.4).</w:t>
      </w:r>
    </w:p>
    <w:p>
      <w:r>
        <w:rPr>
          <w:b/>
        </w:rPr>
        <w:t>E. 3.2</w:t>
      </w:r>
    </w:p>
    <w:p>
      <w:r>
        <w:t>Zu klären ist vorab, ob die Vorinstanz den Beschwerdeführer zu Recht als Auftraggeber und damit als Zollschuldner qualifiziert hat, der gemäss Art. 12 Abs. 2 VStrR in vollem Umfang für die nicht bezahlten Zollabgaben nachleistungspflichtig ist (E. 2.4.2).</w:t>
      </w:r>
    </w:p>
    <w:p>
      <w:r>
        <w:rPr>
          <w:b/>
        </w:rPr>
        <w:t>E. 3.2.1</w:t>
      </w:r>
    </w:p>
    <w:p>
      <w:r>
        <w:t>Der Beschwerdeführer bestreitet seine Eigenschaft als Auftraggeber. Er macht zusammengefasst geltend, er habe gegenüber B._______ keine generelle Abnahmebereitschaft kund getan, sondern die benötigten Lebensmittel sporadisch bestellt. Weiter habe der Beschwerdeführer B._______ nie veranlasst, ihm Waren zu liefern, welche sich im Ausland befanden und - im Zeitpunkt der Bestellung - noch in die Schweiz eingeführt werden mussten. Vielmehr sei er davon ausgegangen und habe er annehmen dürfen, dass sich die Waren bereits in der Schweiz befanden und entsprechend ordnungsgemäss in die Schweiz eingeführt wurden. Die bestellten Waren seien jeweils in einem Fahrzeug mit (...) Kennzeichen geliefert worden, d.h. die Lieferungen seien jeweils gerade nicht direkt nach der Einfuhr erfolgt. Zudem habe die Vorinstanz den Begriff des Zollschuldners falsch definiert bzw. beliebig erweitert. Würde die Argumentation der Vorinstanz zu Ende gedacht, so wären sämtliche Personen in der Schweiz, welche ausländische Produkte je einmal gekauft haben, in Bezug auf zukünftige Käufe stets für allfällig nicht erhobene Zollabgaben nachleistungspflichtig.</w:t>
      </w:r>
    </w:p>
    <w:p>
      <w:r>
        <w:rPr>
          <w:b/>
        </w:rPr>
        <w:t>E. 3.2.2</w:t>
      </w:r>
    </w:p>
    <w:p>
      <w:r>
        <w:t>Den Vorakten lässt sich entnehmen, dass der Beschwerdeführer von der Y._______ im massgebenden Zeitraum, welcher rund 28 Monate umfasst, 19-mal mit unrechtmässig eingeführten Fleisch- und Wurstwaren beliefert wurde. Die Lieferungen erfolgten regelmässig alle eineinhalb Monate mit Lieferunterbrüchen ab April 2008 (fünf Monate), ab Juni 2009 (zweieinhalb Monate) und ab November 2009 (vier Monate). Die einzelnen Lieferungen lagen betragsmässig im Bereich von mehreren Fr. 100.-- bis Fr. 1'500.--. Der Beschwerdeführer hat im relevanten Zeitraum wiederholt die gleichen Fleisch- und Wurstwaren bezogen, so insbesondere mehrere Kilogramm Prosciutto crudo/Prosciutto di Parma, Salame Ventricina/Milano und Coppa.</w:t>
      </w:r>
    </w:p>
    <w:p>
      <w:r>
        <w:rPr>
          <w:b/>
        </w:rPr>
        <w:t>E. 3.2.3</w:t>
      </w:r>
    </w:p>
    <w:p>
      <w:r>
        <w:t>Für die Annahme einer generellen Abnahmebereitschaft genügt in tatsächlicher Hinsicht ein Verhalten, durch welches eine generelle Bereitschaft zur Abnahme solcher Waren kund getan wird (E. 2.2.1).</w:t>
      </w:r>
    </w:p>
    <w:p>
      <w:r>
        <w:rPr>
          <w:b/>
        </w:rPr>
        <w:t>E. 3.2.4</w:t>
      </w:r>
    </w:p>
    <w:p>
      <w:r>
        <w:t>Wie oben dargelegt, hat der Beschwerdeführer in Anbetracht der Anzahl der Warenbezüge (19 mal innerhalb von 28 Monaten), der Regelmässigkeit der Lieferungen (grundsätzlich alle eineinhalb Monate), der Tatsache, dass wiederholt dieselben oder gleichartige Produkte bezogen wurden, der Gesamtmenge von 732 kg (netto), sowie des Gesamtwerts der Waren von mehr als Fr. 13'000.-- im Sinne der Rechtsprechung seine generelle Bereitschaft zur Abnahme solcher Waren kundgetan. Daran ändert auch nichts, dass einzelne längere Lieferunterbrüche erfolgten, hat doch der Beschwerdeführer danach die Geschäftsbeziehung jeweils in unveränderter Weise fortgesetzt, was wiederum auf eine generelle Bereitschaft zur Abnahme solcher Waren schliessen lässt. Sodann ist es nicht entscheidend, ob die einzelnen Lieferungen nur nach vorgängiger telefonischer Bestellung erfolgten (E. 2.2.2 in fine).</w:t>
      </w:r>
    </w:p>
    <w:p>
      <w:r>
        <w:rPr>
          <w:b/>
        </w:rPr>
        <w:t>E. 3.2.5</w:t>
      </w:r>
    </w:p>
    <w:p>
      <w:r>
        <w:t>In der Einvernahme vom 29. September 2010 gab der Beschwerdeführer zu Protokoll, dass er nicht gewusst habe, woher die von Y._______ gelieferten Waren stammen, er aber schon gesehen habe, dass es sich um Produkte aus Italien gehandelt habe. Y._______ habe immer sehr gute Ware geliefert. Die Preise seien meist identisch mit anderen Lieferanten gewesen, eher etwas billiger. Den Preisunterschied habe B._______ damit erklärt, dass er grössere Mengen einkaufe und somit günstiger liefern könne. Preisaufschläge seien häufig mit den hohen Zollabgaben begründet worden. B._______ habe ihm erklärt, dass er die Waren in Italien beziehe und an der Grenze verzolle. Nach dem Gesagten wusste der Beschwerdeführer oder musste zumindest annehmen, dass die von ihm bezogenen Waren von der Y._______ direkt in die Schweiz importiert und nicht etwa erst in der Schweiz eingekauft wurden. Weil der Beschwerdeführer zudem seine generelle Abnahmebereitschaft solcher Ware kund getan hat, ist unerheblich, ob sich die Ware im Zeitpunkt der telefonischen Bestellung noch im Ausland oder bereits in der Schweiz befunden hat (E. 2.2.1 in fine). Der Einwand des Beschwerdeführers, er habe nicht annehmen müssen, dass die von ihm bestellte Ware zuerst aus dem Ausland eingeführt werden musste und er sei nicht direkt nach der Einfuhr beliefert worden, erweist sich daher als nicht stichhaltig. Nichts lässt sich in diesem Zusammenhang zu Gunsten des Beschwerdeführers aus dem Umstand ableiten, dass die Lieferung mit einem Fahrzeug mit (...) Kennzeichen erfolgte. Dass es sich beim Beschwerdeführer um einen Erstabnehmer handelt, der direkt importierte Waren in Empfang nahm, unterscheidet ihn denn auch grundlegend von einem Konsumenten, der in einem Supermarkt einkauft, weshalb die beiden Konstellationen - entgegen den Ausführungen des Beschwerdeführers - nicht vergleichbar sind. Was deren unterschiedliche rechtliche Behandlung in Bezug auf die zollrechtliche Nachleistungspflicht betrifft, so kann auf die Erwägungen 2.4.2 und 2.4.3 verwiesen werden.</w:t>
      </w:r>
    </w:p>
    <w:p>
      <w:r>
        <w:rPr>
          <w:b/>
        </w:rPr>
        <w:t>E. 3.2.6</w:t>
      </w:r>
    </w:p>
    <w:p>
      <w:r>
        <w:t>Nach dem Gesagten qualifiziert der Beschwerdeführer, selbst wenn er nichts von der fehlenden Zolldeklaration wusste (E. 2.4.2), im Sinne der Rechtsprechung als Auftraggeber und damit als Zollschuldner. Er ist folglich - solidarisch mit weiteren Leistungspflichtigen - nachleistungspflichtig für die zu Unrecht nicht bezahlten Zollabgaben und Einfuhrsteuern im Sinne von Art. 12 Abs. 1 und 2 VStrR.</w:t>
      </w:r>
    </w:p>
    <w:p>
      <w:r>
        <w:rPr>
          <w:b/>
        </w:rPr>
        <w:t>E. 3.3</w:t>
      </w:r>
    </w:p>
    <w:p>
      <w:r>
        <w:t>Damit erübrigt es sich zu prüfen, ob der Beschwerdeführer als indirekt Begünstigter zu gelten hat (E. 2.4.3). Auf die Darlegungen des Beschwerdeführers, wonach er - mangels vergünstigter Preise - nicht in den Genuss eines wirtschaftlichen Vorteils gekommen sei und wonach er gutgläubig gewesen sei, wobei sich insbesondere aus dem fehlenden Mehrwertsteuervermerk auf den Rechnungen nichts zu seinen Lasten ableiten lasse, ist daher nicht näher einzugehen.</w:t>
      </w:r>
    </w:p>
    <w:p>
      <w:r>
        <w:rPr>
          <w:b/>
        </w:rPr>
        <w:t>E. 4</w:t>
      </w:r>
    </w:p>
    <w:p>
      <w:r>
        <w:t>Mit Recht hat die Vorinstanz damit die Nachforderung der auf den Fleisch- und Wurstwaren lastenden Zollabgaben und Einfuhrsteuern be­stätigt. Rechnerisch ist die Nachforderung in der Höhe von Fr. 7'995.95 (Zoll Fr. 7'038.30, Einfuhrsteuer Fr. 497.90 und Verzugszins Fr. 459.75) zu Recht nicht bestritten. Demzufolge ist die Beschwerde vollumfänglich, insbesondere auch mit Bezug auf den Eventualantrag, abzuweisen, soweit darauf einzutreten ist. Die Vorinstanz wird in einem separaten Entscheid über die Nachforderung bezüglich der auf den alkoholischen Getränken lastenden Abgaben zu befinden haben (E. 1.3.3).</w:t>
      </w:r>
    </w:p>
    <w:p>
      <w:r>
        <w:rPr>
          <w:b/>
        </w:rPr>
        <w:t>E. 5</w:t>
      </w:r>
    </w:p>
    <w:p>
      <w:r>
        <w:t>Der Beschwerdeführer hat als unterliegende Partei die Verfahrenskosten im Umfang von Fr. 1'500.-- zu tragen (Art. 63 Abs. 1 VwVG). Der vom Beschwerdeführer einbezahlte Kostenvorschuss in derselben Höhe ist zur Bezahlung der Verfahrenskosten zu verwenden. Ein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