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A-7981/2015 vom 21. März 2017</w:t>
      </w:r>
    </w:p>
    <w:p>
      <w:r>
        <w:t>Bundesverwaltungsgericht, 2017-03-21, DE</w:t>
      </w:r>
    </w:p>
    <w:p>
      <w:r>
        <w:rPr>
          <w:b/>
        </w:rPr>
        <w:t xml:space="preserve">Quelle: </w:t>
      </w:r>
      <w:r>
        <w:t>https://mcp.opencaselaw.ch/entscheid/bvger_A-7981_2015</w:t>
      </w:r>
    </w:p>
    <w:p>
      <w:r>
        <w:t>FR: TAF A-7981/2015 du 21 mars 2017</w:t>
      </w:r>
    </w:p>
    <w:p>
      <w:r>
        <w:t>IT: TAF A-7981/2015 del 21 marzo 2017</w:t>
      </w:r>
    </w:p>
    <w:p>
      <w:pPr>
        <w:pStyle w:val="Heading2"/>
      </w:pPr>
      <w:r>
        <w:t>Regeste</w:t>
      </w:r>
    </w:p>
    <w:p>
      <w:r>
        <w:t>Luftfahrzeuge</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Als Vorinstanz hat eine Dienststelle der Bundesverwaltung i.S.v. Art. 33 Bst. d VGG entschieden und für Verfügungen, die sich auf die Luftfahrtgesetzgebung stützen, ist kein Ausnahmegrund vorgesehen (vgl. Art. 6 des Luftfahrtgesetzes [LFG, SR 748.0]). Das Bundesverwaltungsgericht ist insofern zur Beurteilung der vorliegenden Beschwerde sachlich zuständig. In Bezug auf die Beurteilung der funktionalen Zuständigkeit ist zu differenzieren: Soweit die Vorinstanz das Gesuch des Beschwerdeführers, es sei der Tragschrauber "Calidus 500 kg MTOM / 912 ULS" zum Verkehr im schweizerischen Luftraum zuzulassen, abgewiesen hat, liegt eine Teilverfügung vor. Diese ist selbständig anfechtbar (Art. 44 VwVG; Urteil des BVGer A-1346/2015 vom 21. September 2016 E. 1.2.1 f.; Uhlmann/Wälle-Bär, in: Praxiskommentar zum VwVG, 2. Aufl. 2016, Art. 44 Rz. 13, 15 und 21). Die Feststellung der Vorinstanz hingegen, der Tragschrauber vom Typ "FC-Composites AC20 / 914 UL" sei nicht im schweizerischen Luftfahrzeugregister eintragungsfähig, ist ein Entscheid über eine materielle Vorfrage, nämlich darüber, ob die Bestimmungen des Umweltschutzes einer Eintragung entgegenstehen. Es stellt sich daher die Frage, ob der Entscheid eine blosse Zwischenverfügung darstellt, gegen welche die Beschwerde nur unter den Voraussetzungen gemäss Art. 46 VwVG zulässig wäre. Dies ist nicht der Fall. Die Vorinstanz hat festgestellt, dass der Tragschrauber vom Typ "FC-Composites AC20 / 914 UL" nicht in das Luftfahrzeugregister eingetragen werden kann. Damit ist das Verfahren um Eintragung und um Zulassung zum Verkehr grundsätzlich abgeschlossen. Der Entscheid der Vorinstanz, dass der Tragschrauber vom Typ "FC-Composites AC20 / 914 UL" nicht das Luftfahrzeugregister eingetragen werden kann, ist daher ebenfalls als Teilverfügung zu qualifizieren und selbständig anfechtbar. Das Bundesverwaltungsgericht ist somit funktional zur Beurteilung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besitzt. Verlangt ist somit nebst der formellen Beschwer, dass der Beschwerdeführer über eine besondere Beziehungsnähe zur Streitsache verfügt und einen praktischen Vorteil aus der Aufhebung oder Änderung der angefochtenen Verfügung zu ziehen vermag. Davon ist vorliegend auszugehen. Der Beschwerdeführer ist Adressat der angefochtenen Verfügung und mit seinen Begehren um verbindliche Feststellung der Eintragungsfähigkeit des Tragschraubers "FC-Composites AC20 / 914 UL" sowie um Erteilung der Erlaubnis zum Verkehr im schweizerischen Luftraumes für den Tragschrauber "Calidus 500 kg MTOM / 912 ULS" nicht durchgedrungen. Er ist daher als zur Beschwerdeerhebung berechtigt anzusehen.</w:t>
      </w:r>
    </w:p>
    <w:p>
      <w:r>
        <w:rPr>
          <w:b/>
        </w:rPr>
        <w:t>E. 1.3</w:t>
      </w:r>
    </w:p>
    <w:p>
      <w:r>
        <w:t>Auf die im Übrigen frist- und formgerecht eingereichte Beschwerde (Art. 50 Abs. 1 und Art. 52 Abs. 1 VwVG) ist somit einzutreten.</w:t>
      </w:r>
    </w:p>
    <w:p>
      <w:r>
        <w:rPr>
          <w:b/>
        </w:rPr>
        <w:t>E. 2</w:t>
      </w:r>
    </w:p>
    <w:p>
      <w:r>
        <w:t>Das Bundesverwaltungsgericht entscheidet grundsätzlich mit voller Kognition. Es überprüft die angefochtene Verfügung auf Verletzung von Bundesrecht - einschliesslich der unvollständigen oder unrichtigen Feststellung des rechtserheblichen Sachverhalts und Rechtsfehlern bei der Ausübung des Ermessens - sowie auf Angemessenheit hin (Art. 49 VwVG); die Kognition des Bundesverwaltungsgerichts ergibt sich aus den Beschwerdegründen, welche das Gesetz zulässt. Es auferlegt sich allerdings eine gewisse Zurückhaltung, wenn technische Fragen zu beurteilen sind oder die Vorinstanz gestützt auf eigene besondere Fachkompetenz oder die ihr vom Gesetzgeber beigegebenen Fachbehörden entschieden hat. Es entfernt sich in solchen Fällen im Zweifel nicht von der Auffassung der Vorinstanz und setzt sein eigenes Ermessen nicht (ohne Weiteres) an deren Stelle.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(Urteil des BVGer A-227/2016 vom 7. Februar 2017 E. 2 mit Hinweisen auf die Rechtsprechung).</w:t>
      </w:r>
    </w:p>
    <w:p>
      <w:r>
        <w:rPr>
          <w:b/>
        </w:rPr>
        <w:t>E. 3.1</w:t>
      </w:r>
    </w:p>
    <w:p>
      <w:r>
        <w:t>Unbestritten ist, dass Tragschrauber mit Verbrennungsmotor grundsätzlich zum Verkehr im schweizerischen Luftraum zugelassen sind (Art. 2b Abs. 2 Bst. c der Luftfahrtverordnung [LFV, SR 748.01]) und dass die beiden in Frage stehenden Typen die Anforderungen an die Lufttüchtigkeit erfüllen. Nicht in Frage steht in diesem Zusammenhang auch die Zuweisung der beiden Tragschrauber in die Sonderkategorie; der Verordnungsgeber unterscheidet hinsichtlich der Zulassung eines Luftfahrzeugs zwischen einer Standard- und einer Sonderkategorie (Art. 3 Abs. 1 Bst. a und b der Verordnung des UVEK über die Lufttüchtigkeit von Luftfahrzeugen [VLL, SR 748.215.1]), wobei vorliegend weder ersichtlich ist noch begründet geltend gemacht wird, dass für die beiden in Frage stehenden Tragschrauber eine Entsprechung gemäss Art. 3 Abs. 1 Bst. a VLL vorliegen würde (vgl. auch Urteil des BGer 2C_391/2013 vom 13. November 2013 E. 3.3). Die vorliegend streitbetroffenen Tragschrauber unterstehen auch dem Chicago-Übereinkommen grundsätzlich nicht; für Luftfahrzeuge unter 750 kg legt Anhang 8 zum Chicago-Übereinkommen keine Anforderungen an die Lufttüchtigkeit fest (Art. 31 und Art. 33 Chicago-Übereinkommen). Streitig und daher im Folgenden zu prüfen ist hingegen, ob die Vorinstanz zu Recht aus Gründen des Umweltschutzes die Eintragungsfähigkeit ins Luftfahrzeugregister und die Zulassung zum Verkehr im schweizerischen Luftraum verneint hat. Im Hinblick darauf ist zunächst auf die allgemeinen (luftfahrtrechtlichen) Voraussetzungen für die Eintragung in das Luftfahrzeugregister und Zulassung von Luftfahrzeugen zum Verkehr einzugehen.</w:t>
      </w:r>
    </w:p>
    <w:p>
      <w:r>
        <w:rPr>
          <w:b/>
        </w:rPr>
        <w:t>E. 3.2.1</w:t>
      </w:r>
    </w:p>
    <w:p>
      <w:r>
        <w:t>Die Benützung des Luftraums über der Schweiz durch Luftfahrzeuge ist im Rahmen des LFG, der übrigen Bundesgesetzgebung und der für die Schweiz verbindlichen zwischenstaatlichen Vereinbarungen gestattet (Art. 1 Abs. 1 LFG). Gemäss Art. 2 Abs. 1 LFG sind zum Verkehr im schweizerischen Luftraum u.a. zugelassen Luftfahrzeuge, die im schweizerischen Luftfahrzeugregister eingetragen und mit den erforderlichen Ausweisen versehen sind (Bst. b), und Luftfahrzeuge, für die durch besondere Verfügung der Vorinstanz die Benützung des schweizerischen Luftraums gestattet ist (Bst. e). Nach dem vorbehaltenen Art. 2 Abs. 2 LFG kann der Bundesrat zur Wahrung der Flugsicherheit oder aus Gründen des Umweltschutzes Luftfahrzeuge besonderer Kategorien vom Verkehr im schweizerischen Luftraum ausschliessen oder ihre Zulassung davon abhängig machen, dass geeignete öffentliche oder private Stellen Aufsichtsaufgaben übernehmen. Dem schweizerischen Luftfahrtrecht liegt - im Interesse der öffentlichen Sicherheit - der Grundsatz der Eintragungspflicht von Luftfahrzeugen in das Luftfahrzeugregister zu Grunde (so schon die Botschaft vom 23. März 1945 zum Entwurf eines Bundesgesetzes über die Luftfahrt, BBl 1945 I 341, 359). Das Luftfahrzeugregister wird von der Vorinstanz geführt (Art. 52 Abs. 1 LFG) und der Bundesrat ist beauftragt, die näheren Bestimmungen über die Voraussetzungen, den Inhalt, die Änderung und die Löschung von Einträgen zu erlassen (Art. 52 Abs. 4 LFG). Vor der Eintragung sind die Lufttüchtigkeit sowie die Lärmentwicklung und die Schadstoffemissionen der Luftfahrzeuge mit motorisiertem Antrieb zu prüfen (Art. 58 Abs. 1 LFG). Das UVEK erlässt Bestimmungen über die Anforderungen an die Lufttüchtigkeit sowie über die Begrenzung der Lärm- und Schadstoffemissionen der Luftfahrzeuge mit motorisiertem Antrieb (Art. 58 Abs. 2 LFG).</w:t>
      </w:r>
    </w:p>
    <w:p>
      <w:r>
        <w:rPr>
          <w:b/>
        </w:rPr>
        <w:t>E. 3.2.2</w:t>
      </w:r>
    </w:p>
    <w:p>
      <w:r>
        <w:t>Der Bundesrat ist seinen Verpflichtungen in der LFV nachgekommen. Gemäss Art. 2b Abs. 1 LFV ist der Betrieb von bestimmten bemannten, motorisch angetriebenen Luftfahrzeugen mit geringem Gewicht verboten. Vom Verbot ausgenommen sind - seit dem 1. Oktober 2014 - u.a. elektrisch oder mit einem Verbrennungsmotor angetriebene Tragschrauber (Art. 2b Abs. 2 Bst. a und c LFV). Die Bestimmungen von Art. 3 ff. LFV regeln weiter die formellen und materiellen Anforderungen für Einträge, Änderungen und Löschungen im Luftfahrzeugregister. Die Voraussetzungen für die Eintragung sind in Art. 3 Abs. 1 LFV umschrieben. Demnach ist insbesondere vorausgesetzt, dass die Eigentumsvoraussetzungen gemäss den Art. 4 und Art. 5 LFV erfüllt sind. Die Eintragung kann verweigert werden, wenn das Luftfahrzeug offensichtlich den in der Schweiz anwendbaren Lufttüchtigkeitsanforderungen oder den Bestimmungen über den Umweltschutz nicht entspricht (Art. 3 Abs. 4 LFV). Der Nachweis der Lufttüchtigkeit und die Zulassung zum Verkehr finden sich in den Art. 13 ff. LFV geregelt. Gemäss Art. 18 Abs. 1 LFV wird ein im Luftfahrzeugregister eingetragenes Luftfahrzeug zum Verkehr im schweizerischen Luftraum zugelassen, wenn es lufttüchtig ist (Bst. a) und die Anforderungen an die Begrenzung des Lärms und anderer Emissionen erfüllt (Bst. b). Zudem müssen die Haftpflichtansprüche von Dritten auf der Erde und von Reisenden im vorgeschriebenen Umfang sichergestellt sein und bei aus dem Ausland eingeführten Luftfahrzeugen muss nachgewiesen sein, dass eine Zollveranlagung durchgeführt wurde oder es vorübergehend zollbefreit ist (Bst. c und d). Ausländische Lufttüchtigkeits- sowie Lärm- und Schadstoffzeugnisse können von der Vorinstanz anerkannt werden, wenn sie nach geltenden schweizerischen oder internationalen Normen ausgestellt worden sind oder nach Normen, die den schweizerischen Mindestanforderungen wenigstens gleichkommen (Art. 17 Abs. 1 und 2 LFV). Die Zulassung zum Verkehr erfolgt mit der Erteilung des Lufttüchtigkeitszeugnisses oder - für Luftfahrzeuge der Sonderkategorie - mit Erteilung der Fluggenehmigung (Art. 18 Abs. 3 LFV; vgl. auch Art. 10b VLL). Schliesslich wird das UVEK in Art. 21 LFV ermächtigt, innerhalb gewisser Grenzen für Luftfahrzeuge der Sonderkategorie oder bei neuen technischen Erscheinungen Sonderregeln zu erlassen und andere Massnahmen zu treffen, wobei auch die Anliegen des Natur-, Landschafts- und Umweltschutzes zu berücksichtigen sind.</w:t>
      </w:r>
    </w:p>
    <w:p>
      <w:r>
        <w:rPr>
          <w:b/>
        </w:rPr>
        <w:t>E. 3.2.3</w:t>
      </w:r>
    </w:p>
    <w:p>
      <w:r>
        <w:t>Das UVEK hat u.a. gestützt auf Art. 58 Abs. 2 LFG die VLL und die VEL erlassen. Während die VLL die Anforderungen an die Lufttüchtigkeit festlegt, enthält die VEL Grenzwerte für die Lärm- und Schadstoffemissionen von Luftfahrzeugen mit motorischem Antrieb, die im Luftfahrzeugregister eingetragen sind oder eingetragen werden sollen (Art. 1 Abs. 1 VEL; zum Anwendungsbereich der VLL vgl. Urteil des BGer 2C_391/2013 vom 13. November 2013 E. 3.3). Für in der Sonderkategorie zuzulassende Tragschrauber legt Art. 3a VEL die einzuhaltenden Grenzwerte und die Anforderungen an die Lärmzeugnisse fest. Demnach darf der Schallpegel dieser Luftfahrzeuge 65 dB(A) nicht übersteigen (Abs. 2) und die Motorenleistung ist, wenn sie mit einem Verbrennungsmotor ausgerüstet sind, auf 90 kW (121 PS) begrenzt (Abs. 3). Zudem müssen Tragschrauber mit Verbrennungsmotor mit bleifreiem Benzin betrieben werden können (Abs. 4). Als massgebliches Messverfahren zur Ermittlung der Lärmemissionen wird in Abs. 1 jenes gemäss Band I Kapitel 10 Ziffn. 10.2-10.6 des Anhangs 16 zum Chicago-Übereinkommen bezeichnet.</w:t>
      </w:r>
    </w:p>
    <w:p>
      <w:r>
        <w:rPr>
          <w:b/>
        </w:rPr>
        <w:t>E. 3.3.1</w:t>
      </w:r>
    </w:p>
    <w:p>
      <w:r>
        <w:t>Nach den Erwägungen der Vorinstanz entspricht der Tragschrauber vom Typ "FC-Composites AC20 / 914 UL" mit einem Schallpegel von 70.08 dB(A) offensichtlich nicht den Anforderungen an den Lärmschutz gemäss Art. 3a Abs. 2 VEL und kann aus diesem Grund nicht in das Luftfahrzeugregister eingetragen werden. Der Beschwerdeführer kritisiert den in Art. 3a Abs. 2 VEL festgelegten Lärmgrenzwert als verfassungs- sowie gesetzwidrig und verlangt, es sei die Bestimmung einer konkreten Normenkontrolle zu unterziehen. Er führt an, Tragschrauber seien gemäss der LFV zum Verkehr im schweizerischen Luftraum zugelassen. Der festgelegte Lärmgrenzwert führe jedoch zu einem faktischen Verbot der heute gebräuchlichen Tragschrauber, das zu erlassen das UVEK nicht ermächtigt sei. Die Bestimmung verstosse zudem gegen das Rechtsgleichheitsgebot, da der Verordnungsgeber Unterscheidungen unterlassen habe, die sich aufgrund der Verhältnisse aufgedrängt hätten. Schliesslich sieht der Beschwerdeführer durch die Bestimmung von Art. 3a Abs. 2 VEL den Verhältnismässigkeitsgrundsatz sowie Bundesumweltrecht verletzt.</w:t>
      </w:r>
    </w:p>
    <w:p>
      <w:r>
        <w:rPr>
          <w:b/>
        </w:rPr>
        <w:t>E. 3.3.2</w:t>
      </w:r>
    </w:p>
    <w:p>
      <w:r>
        <w:t>Der Kritik des Beschwerdeführers kann nicht gefolgt werden. Die Bestimmung von Art. 2 Abs. 2 LFG ist nicht alleine eine Delegationsnorm betreffend den Ausschluss bestimmter Luftfahrzeuge vom Verkehr im schweizerischen Luftraum. Hinter Art. 2 Abs. 2 LFG steht nach dem Wortlaut der Bestimmung und nach den Materialien die Regelungsabsicht, nicht jede neue technische Erscheinung und Entwicklung zum Verkehr im schweizerischen Luftraum zuzulassen. Eine Zulassung in der Sonderkategorie (durch den Bundesrat) ist vielmehr davon abhängig zu machen, ob mit einer neuen technischen Erscheinung eine Verbesserung oder zumindest keine Verschlechterung der Umweltbelastung insgesamt und der Lärmbelastung im Besonderen verbunden ist (Botschaft vom 20. November 1991 über eine Änderung des Luftfahrtgesetzes, BBl 1992 I 607, 614; vgl. auch Art. 21 LFV). Entsprechend dieser Wertung des Gesetzgebers wurden, wie die Vorinstanz in ihrer Vernehmlassung ausführt, im Jahr 2005 sog. Ecolight-Flugzeuge zum Verkehr im schweizerischen Luftraum zugelassen; es sei zu erwarten gewesen, dass diese modernen Flugzeuge herkömmliche Kleinflugzeuge ersetzen würden und so ein Umweltvorteil resultiert (Substitutionseffekt). Und auch im Zusammenhang mit der Revision von Art. 2b LFV betreffend die Zulassung von Tragschraubern hielt der Bundesrat entsprechend dem Regelungskonzept des Gesetzgebers fest, dass für Tragschrauber die gleichen strengen Lärmgrenzwerte gelten sollten wie für Ecolight-Flugzeuge (vgl. zur Revision von Art. 2b LFV die entsprechenden Erläuterungen vom 24. April 2014, S. 1 f., abrufbar unter &lt; www.admin.ch &gt; Bundesrecht &gt; Vernehmlassungen &gt; Abgeschlossene Vernehmlassungen &gt; 2014 (besucht am 1. März 2017). Die Wertungen des Gesetzgebers und damit das hinter der Bestimmung von Art. 2 Abs. 2 LFG stehende Regelungskonzept sind nicht nur für den Bundesrat verbindlich, sondern auch vom UVEK beim Erlass von (weiteren) Ausführungsbestimmungen gestützt auf Art. 58 Abs. 2 LFG zu beachten. Der Beschwerdeführer vermag daher alleine aus dem Umstand, dass Tragschrauber mit Verbrennungsmotor gemäss Art. 2b Abs. 2 Bst. c LFV zum Verkehr im schweizerischen Luftraum zugelassen sind, nichts zu seinen Gunsten abzuleiten. Die Zulassung wird damit nicht abschliessend geregelt, sondern es müssen grundsätzlich, d.h. sofern kompetenzmässig erlassen und gesetzes- sowie verfassungskonform, im Einzelfall u.a. die umweltrechtlichen Anforderungen erfüllt sein.</w:t>
      </w:r>
    </w:p>
    <w:p>
      <w:r>
        <w:rPr>
          <w:b/>
        </w:rPr>
        <w:t>E. 3.3.3</w:t>
      </w:r>
    </w:p>
    <w:p>
      <w:r>
        <w:t>Vorliegend ist nicht ersichtlich, dass das UVEK mit Erlass von Art. 3a Abs. 2 VEL über die ihm zustehenden Befugnisse hinausgegangen wäre. Der Lärmgrenzwert gemäss Art. 3a Abs. 2 VEL verunmöglicht eine Eintragung von Tragschraubern ins Luftfahrzeugregister nicht in jedem Fall. Dies wird auch nicht begründet geltend gemacht. Der Lärmgrenzwert dürfte - aus heutiger Sicht - vielmehr für schwerere, weil stärker motorisierte Tragschrauber nicht ohne Weiteres einzuhalten sein, was gemäss den vom Beschwerdeführer zitierten Entscheidgrundlagen u.a. darauf zurückzuführen ist, dass der Motor lediglich teilverschalt ist und sich die Motorengeräusche, welche zum überwiegenden Teil die Lärmemissionen verursachen, relativ ungehindert ausbreiten können (Entscheidgrundlagen Lärmgrenzwert vom 20. April 2015 für die Zulassung von Gyrokoptern in der Schweiz, beiliegender Bericht von Martin Lienhard vom 17. April 2015, S. 9 f.). Es entspricht jedoch gerade den erwähnten Wertungen des Gesetzgebers und auch des Bundesrates, neue technische Erscheinungen wie (stärker motorisierte) Tragschrauber nicht unbesehen der damit verbundenen Umwelteinwirkungen zum Verkehr zuzulassen, sondern die Zulassung von lärmige(re)n Typen wie dem "FC-Composites AC20 / 914 UL" über den Lärmgrenzwert von (weiteren) technischen Massnahmen zur Verminderung der Lärmemissionen abhängig zu machen. Dass solche Massnahmen ausgeschlossen wären, ist weder ersichtlich noch wird dies begründet vorgebracht. Vielmehr hält die Vorinstanz als Fachbehörde in den erwähnten Entscheidungsgrundlagen fest, es bestünde betreffend die Lärmemissionen des Motors (Motorverschalung, Abgas-Schalldämpfer) ein gewisses Optimierungspotential. Das UVEK hat den Lärmgrenzwert gemäss Art. 3a Abs. 2 VEL mithin entsprechend der ihm zustehenden Kompetenzen und in Übereinstimmungen mit den Wertungen des Gesetzgebers festgelegt.</w:t>
      </w:r>
    </w:p>
    <w:p>
      <w:r>
        <w:rPr>
          <w:b/>
        </w:rPr>
        <w:t>E. 3.3.4</w:t>
      </w:r>
    </w:p>
    <w:p>
      <w:r>
        <w:t>Der Lärmgrenzwert gemäss Art. 3a Abs. 2 VEL steht schliesslich weder im Widerspruch zu den verfassungsmässigen Grundsätzen der Verhältnismässigkeit und der Rechtsgleichheit noch zum Bundesumweltrecht. Zwar trifft wohl zu, dass in der Sonderkategorie zugelassene Ecolight-Flugzeuge, für welche derselbe Lärmgrenzwert gilt wie für Tragschrauber (Art. 3 Abs. 2 VEL), im Vergleich zu diesen eine andere (aerodynamische) Funktionsweise aufweisen. Darauf kommt es jedoch vorliegend nicht an. Wie bereits ausgeführt, sind gemäss dem Art. 2 Abs. 2 LFG zu Grunde liegenden Regelungskonzept neue technische Erscheinungen und Entwicklungen zum Verkehr im schweizerischen Luftraum grundsätzlich nur zuzulassen, wenn daraus ein Umweltvorteil oder zumindest keine Verschlechterung der Umweltbelastung resultiert. Entsprechend hat der Bundesrat die Zulassung von Tragschraubern zum Verkehr an die für das UVEK verbindliche Bedingung geknüpft, dass für diese grundsätzlich derselbe Lärmgrenzwert gelte wie für die bereits zugelassenen Ecolight-Flugzeuge. Im Weiteren ist nicht ersichtlich, dass sich der Charakter des Lärms von Tragschraubern wesentlich von jenem von Ecolight-Flugzeugen unterscheidet. Es besteht daher kein Grund für eine unterschiedliche Messung und Bewertung der Lärmemissionen von Ecolight-Flugzeugen und Tragschraubern. Und auch aus dem Umstand, dass für Helikopter, welche anders als die vorliegend in Frage stehenden Tragschrauber der Standardkategorie zufallen und grundsätzlich in den Anwendungsbereich des Chicago-Übereinkommens fallen, offenbar ein höherer Lärmgrenzwert gilt, vermag der Beschwerdeführer nichts zu seinen Gunsten abzuleiten. Das Regelungskonzept des Gesetzgebers für Luftfahrzeuge der Sonderkategorie und die Umsetzung durch den Verordnungsgeber erscheinen vielmehr insgesamt und unter Berücksichtigung der gebotenen Zurückhaltung insbesondere bezüglich der Höhe des Lärmgrenzwertes (vgl. hierzu vorstehend E. 2) als sachgerecht und im Interesse der Lärmschutzes auch verhältnismässig; das öffentliche Interesse an einer Vermeidung zusätzlicher Umweltbelastungen überwiegt das private Interesse an einer Zulassung von - nach Angaben des Beschwerdeführers - heute gebräuchlichen, jedoch stärker motorisierten und damit lärmigeren Tragschraubern. Auch aus Sicht des Umweltschutzgesetzes (USG, SR 814.01) sind der Lärmgrenzwert und das diesem zu Grunde liegende Regelungskonzept nicht zu beanstanden; gemäss Art. 3 Abs. 1 USG und Art. 3 Abs. 2 der Lärmschutz-Verordnung (LSV, SR 814.41) bleiben (strengere) Vorschriften in anderen (Sach-)Gesetzen des Bundes vorbehalten, weshalb der Beschwerdeführer aus der Konkretisierung des Verhältnismässigkeitsprinzips in Art. 11 Abs. 2 USG nichts zu seinen Gunsten abzuleiten vermag (vgl. Hansjörg Seiler, in: Vereinigung für Umweltrecht/Keller [Hrsg.], Kommentar zum Umweltschutzgesetz, 2. Aufl. 2004, Art. 3 Rz. 43). Es kann somit festgehalten werden, dass die Bestimmung von Art. 3a Abs. 2 VEL verfassungs- und gesetzeskonform ist und die Vorinstanz zu Recht festgestellt hat, der Tragschrauber vom Typ "FC-Composites AC20 / 914 UL" entspreche (derzeit) offensichtlich nicht den Bestimmungen über den Umweltschutz und könne daher gemäss Art. 3 Abs. 4 LFV nicht ins Luftfahrzeugregister eingetragen werden. Die Beschwerde ist daher in diesem Punkt abzuweisen.</w:t>
      </w:r>
    </w:p>
    <w:p>
      <w:r>
        <w:rPr>
          <w:b/>
        </w:rPr>
        <w:t>E. 3.4.1</w:t>
      </w:r>
    </w:p>
    <w:p>
      <w:r>
        <w:t>Die Vorinstanz hat sodann den Tragschrauber vom Typ "Calidus 500 kg MTOM / 912 ULS" nicht zum Verkehr im schweizerischen Luftraum zugelassen. Zur Begründung lässt sich der angefochtenen Verfügung und der Vernehmlassung an das Bundesverwaltungsgericht zusammenfassend entnehmen, es sei nicht nachgewiesen, dass das beigebrachte Lärmzeugnis nach Normen ausgestellt worden ist, die den schweizerischen Mindestanforderungen gemäss Art. 3a Abs. 1 VEL gleichkommen. Vielmehr sei ohne Messprotokoll aufgrund der Erfahrung davon auszugehen, dass der Schallpegel im Lärmzeugnis zu tief angegeben sei. Gestützt auf die beigebrachten Unterlagen sei mithin nicht nachgewiesen, dass der fragliche Tragschrauber den Bestimmungen über den Umweltschutz entspreche, weshalb keine Erlaubnis i.S.v. Art. 2 Abs. 1 Bst. e LFG zur Benützung des schweizerischen Luftraumes erteilt werden könne. Der Beschwerdeführer führt hiergegen nebst der Verletzung der Begründungspflicht durch die Vorinstanz an, die Lärmemissionen von Tragschraubern würden mit dem Messverfahren gemäss dem Chicago-Übereinkommen, auf welches Art. 3a Abs. 1 VEL verweise, nicht sachgerecht abgebildet. Er verlangt sinngemäss, dass das beigebrachte Lärmzeugnis als gleichwertig anerkannt und der Tragschrauber zum Verkehr im schweizerischen Luftraum zugelassen werde.</w:t>
      </w:r>
    </w:p>
    <w:p>
      <w:r>
        <w:rPr>
          <w:b/>
        </w:rPr>
        <w:t>E. 3.4.2</w:t>
      </w:r>
    </w:p>
    <w:p>
      <w:r>
        <w:t>Zunächst ist zu prüfen, ob die Vorinstanz ihre Begründungspflicht und damit den Anspruch des Beschwerdeführers auf rechtliches Gehör verletzt hat. Die Parteien haben im verwaltungs- und verwaltungsgerichtlichen Verfahren Anspruch auf rechtliches Gehör (Art. 29 Abs. 2 BV und Art. 29 ff. VwVG). Dazu gehört, dass die Behörde ihren Entscheid in nachvollziehbarer Weise begründet, so dass er sachgerecht angefochten und von der Beschwerdeinstanz überprüft werden kann (Art. 35 Abs. 2 VwVG). Die Behörde darf sich dabei auf die für den Entscheid wesentlichen Punkte beschränken, muss jedoch zumindest kurz und unter Bezugnahme auf den konkret zu beurteilenden Sachverhalt die Überlegungen nennen, von denen sie sich hat leiten lassen und auf die sich ihr Entscheid stützt. Welchen Anforderungen eine Begründung zu genügen hat, ist im Einzelfall anhand der konkreten Umstände und der Interessen der Betroffenen festzulegen (Urteil des BVGer A-1251/2012 vom 15. Januar 2014 E. 6.2 mit Hinweisen auf die Rechtsprechung und die Literatur). Aus der angefochtenen Verfügung ergibt sich, aus welchen Gründen die Vorinstanz das ausländische Lärmzeugnis nicht ohne Weiteres anerkannte. Sie erwog (sinngemäss), ohne das Messprotokoll könne nicht beurteilt werden, ob die im Ausland durchgeführte(n) Lärmmessung(en) den in der Schweiz geltenden Mindestanforderungen bezüglich Messverfahren (einschliesslich Korrekturfaktoren) entspreche. Zwar ist die Begründung hinsichtlich der Zulassung des Tragschraubers vom Typ "Calidus 500 kg MTOM / 912 ULS" knapp ausgefallen, doch war für den fachkundigen Beschwerdeführer, der seinerseits das Messverfahren gemäss den deutschen LVL als gleichwertig mit den schweizerischen Mindestanforderungen bezeichnet, ersichtlich, auf welche Überlegungen die Vorinstanz ihren Entscheid stützt. Die Vorinstanz hat daher vorliegend ihre Begründungspflicht nicht verletzt. Es bleibt im Folgenden somit zu prüfen, ob die Vorinstanz in der Sache richtig entschieden und den Tragschrauber vom Typ "Calidus 500 kg MTOM / 912 ULS" zu Recht nicht zum Verkehr zugelassen hat.</w:t>
      </w:r>
    </w:p>
    <w:p>
      <w:r>
        <w:rPr>
          <w:b/>
        </w:rPr>
        <w:t>E. 3.4.3</w:t>
      </w:r>
    </w:p>
    <w:p>
      <w:r>
        <w:t>Zum Verkehr im schweizerischen Luftraum sind, wie bereits ausgeführt, u.a. Luftfahrzeuge zugelassen, für welche durch besondere Verfügung der Vorinstanz die Benützung des schweizerischen Luftraums gestattet ist (Art. 2 Abs. 1 Bst. e LFG). Die Bestimmung von Art. 2 Abs. 1 Bst. e LFG wird jedoch weder im Gesetz noch auf Verordnungsstufe konkretisiert. Es gelangen somit - in formeller Hinsicht - grundsätzlich die allgemeinen Verfahrensgrundsätze und -bestimmungen insbesondere des VwVG zur Anwendung. In materieller Hinsicht ergibt sich aus den Materialien, dass ein Lärmzeugnis und damit die Einhaltung der Bestimmungen über den Schutz vor Lärm für jedes Luftfahrzeug eine Voraussetzung für die Zulassung zum Verkehr ist (Botschaft vom 10. Februar 1971 über die Änderung des Luftfahrtgesetzes, BBl 1997 I 266, 278). Eine echte Gesetzeslücke liegt insoweit nicht vor (vgl. BGE 138 II 1 E. 4.2). Vielmehr hat die Vorinstanz die Erlaubnis gemäss Art. 2 Abs. 1 Bst. e LFG zu Recht von der Einhaltung derselben Anforderungen abhängig gemacht, die - die Lärmemissionen betreffend - auch für die Eintragung eines Tragschraubers ins Luftfahrzeugregister gelten. Der Tragschrauber vom Typ "Calidus 500 kg MTOM / 912 ULS" hat grundsätzlich die Anforderungen gemäss Art. 3a Abs. 1 und 2 VEL zu erfüllen, um gestützt auf Art. 2 Abs. 1 Bst. e LFG (unbefristet) zum Verkehr im schweizerischen Luftraum zugelassen werden zu können. Vorliegend ist nicht ersichtlich, inwieweit das Messverfahren gemäss dem Chicago-Übereinkommen, welches die Durchführung eines Messfluges unter definierten Referenzbedingungen und die Aufzeichnung des am Boden empfangenen Luftfahrzeuglärms vorschreibt, die Lärmeinwirkungen nicht sachgerecht abbilden würde. Auch die deutsche LVL schreibt ein solches Messverfahren unter - soweit ersichtlich - denselben Referenzbedingungen vor. Die beiden Regelwerke unterscheiden sich jedoch hinsichtlich der Frage, ob die Messdaten im Fall von Abweichungen der tatsächlichen von den Referenzbedingungen zu korrigieren sind. Gemäss dem Bestimmungen des Chicago-Übereinkommens müssen die folgenden Abweichungen korrigiert werden (Annex 16 Volume I Appendix 6 Ziff. 5.2.1 des Chicago-Übereinkommens in der von der Vorinstanz auf dessen Internetseite publizierten 6. Aufl. [Ziff. 3 des Anhangs zum Chicago-Übereinkommen]): - Abweichungen in der atmosphärischen Dämpfung - Abweichungen bezüglich der Flugroute - Abweichung der helikalen Blattspitzen-Machzahl (Propellerdrehzahl) - Abweichungen der Leistungssetzung Demgegenüber verlangt die deutsche LVL - ebenso wie die entsprechende österreichische Rechtsvorschrift - eine Korrektur der Messdaten nur im Fall einer Abweichung der tatsächlichen von der Referenz-Flughöhe. Andere Abweichungen werden ausdrücklich nicht korrigiert (Ziff. A2.5 der Anlage 2 der deutschen LVL, abrufbar auf der Internetseite des Deutschen Ultraleichtflugverbandes [DULF]: &lt; www.dulv.de &gt; Downloads &gt; Zulassungen / Technik [besucht am 3. März 2017]; Teil 2 Ziff. 5.1 der Anlage B der vom Beschwerdeführer beigebrachten gesamten Rechtsvorschrift für Zivilluftfahrzeug-Lärmzulässigkeitsverordnung 2005). Inwieweit nun eine Lärmmessung, welche u.U. von den Referenzbedingungen abweicht, die Lärmeinwirkungen sach- und damit störungsgerechter abzubilden vermag als eine unter Referenzbedingungen erfolgte bzw. eine entsprechend korrigierte Messung, ist nicht ersichtlich. Vielmehr dürfte mit Blick auf das gewichtige Interesse an einer gleichen Rechtsanwendung grundsätzlich das Gegenteil der Fall sein. Soweit der Beschwerdeführer unter Verweis auf die in Österreich geltenden Bestimmungen sodann verlangt, es sei bei der Lärmmessung für schwerere Tragschrauber ein "Korrekturfaktor" einzuführen, zielt er im Ergebnis auf einen höheren Lärmgrenzwert für stärker motorisierte und damit lärmigere Tragschrauber ab, was jedoch der dargestellten Konzeption des schweizerischen Gesetzgebers widersprechen würde und daher abzulehnen ist. Ebenso ins Leere zielt schliesslich das Vorbringen, das Messverfahren gemäss dem Chicago-Übereinkommen sei nicht für Tragschrauber entwickelt worden. Zum einen ist das Vorbringen nicht weiter begründet, zum anderen sehen auch die vom Beschwerdeführer beigebrachten ausländischen Vorschriften - abgesehen von den erwähnten Korrekturfaktoren - ein im Wesentlichen übereinstimmendes Messverfahren vor. Der Entscheid der Vorinstanz, das vom Beschwerdeführer eingereichte ausländische Lärmzeugnis nicht ohne Weiteres als gleichwertig mit einem gemäss den in der Schweiz geltenden Mindestanforderungen erstellten Lärmzeugnisses anzuerkennen (Art. 17 Abs. 2 Bst. a LFV i.V.m. Art. 3a Abs. 1 VEL), ist somit nicht zu beanstanden. Die Beschwerde ist auch in diesem Punkt abzuweisen.</w:t>
      </w:r>
    </w:p>
    <w:p>
      <w:r>
        <w:rPr>
          <w:b/>
        </w:rPr>
        <w:t>E. 4</w:t>
      </w:r>
    </w:p>
    <w:p>
      <w:r>
        <w:t>Zusammenfassend ergibt sich, dass die Eintragung eines Tragschraubers in das Luftfahrzeugregister die Einhaltung der Bestimmung über den Umweltschutz voraussetzt. Dasselbe gilt für die Zulassung zum Verkehr im schweizerischen Luftraum. Eine konkrete Normenkontrolle der entsprechenden Bestimmung ergibt, dass der gemäss Art. 3a Abs. 2 VEL geltende Lärmgrenzwert kompetenzmässig erlassen wurde und verfassungs- sowie gesetzeskonform ist. Zudem ermöglicht das Messverfahren gemäss dem Chicago-Übereinkommen, welches gemäss Art. 3a Abs. 1 VEL anwendbar ist, die Lärmeinwirkungen sachgerecht abzubilden. Für beide in Frage stehenden Tragschrauber ist schliesslich nicht nachgewiesen, dass sie die anwendbaren Bestimmungen über den Umweltschutz einhalten, weshalb die Beschwerde abzuweisen ist.</w:t>
      </w:r>
    </w:p>
    <w:p>
      <w:r>
        <w:rPr>
          <w:b/>
        </w:rPr>
        <w:t>E. 5</w:t>
      </w:r>
    </w:p>
    <w:p>
      <w:r>
        <w:t>Bei diesem Ausgang des Verfahrens gilt der Beschwerdeführer als unterliegend. Er hat daher die auf Fr. 3'000.- festzusetzenden Verfahrenskosten zu tragen (Art. 63 Abs. 1 VwVG i.V.m. Art. 1 ff. des Reglements vom 21. Februar 2008 über die Kosten und Entschädigungen vor dem Bundesverwaltungsgericht [VGKE, SR 173.320.2]). Der vom Beschwerdeführer in der Höhe von Fr. 3'000.- geleistete Kostenvorschuss wird zur Bezahlung der Verfahrenskosten verwendet. Eine Parteientschädigung ist dem Beschwerdeführer angesichts seines Unterliegens nicht zuzusprechen (Art. 64 Abs. 1 VwVG; Art. 7 ff. VGKE). Die Vorinstanz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