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A-7975/2008 vom 22. Juni 2009</w:t>
      </w:r>
    </w:p>
    <w:p>
      <w:r>
        <w:t>Bundesverwaltungsgericht, 2009-06-22, DE</w:t>
      </w:r>
    </w:p>
    <w:p>
      <w:r>
        <w:rPr>
          <w:b/>
        </w:rPr>
        <w:t xml:space="preserve">Quelle: </w:t>
      </w:r>
      <w:r>
        <w:t>https://mcp.opencaselaw.ch/entscheid/bvger_A-7975_2008</w:t>
      </w:r>
    </w:p>
    <w:p>
      <w:r>
        <w:t>FR: TAF A-7975/2008 du 22 juin 2009</w:t>
      </w:r>
    </w:p>
    <w:p>
      <w:r>
        <w:t>IT: TAF A-7975/2008 del 22 giugno 2009</w:t>
      </w:r>
    </w:p>
    <w:p>
      <w:pPr>
        <w:pStyle w:val="Heading2"/>
      </w:pPr>
      <w:r>
        <w:t>Regeste</w:t>
      </w:r>
    </w:p>
    <w:p>
      <w:r>
        <w:t>Akteneinsicht</w:t>
      </w:r>
    </w:p>
    <w:p>
      <w:pPr>
        <w:pStyle w:val="Heading2"/>
      </w:pPr>
      <w:r>
        <w:t>Erwägungen</w:t>
      </w:r>
    </w:p>
    <w:p>
      <w:r>
        <w:rPr>
          <w:b/>
        </w:rPr>
        <w:t>E. 1</w:t>
      </w:r>
    </w:p>
    <w:p>
      <w:r>
        <w:t>Die angefochtene Verfügung vom 10. November 2008 betreffend Akteneinsicht stellt eine Zwischenverfügung nach Art. 5 Abs. 2 des Bundesgesetzes vom 20. Dezember 1968 über das Verwaltungsverfahren (VwVG, SR 172.021) dar (vgl. Urteil des Bundesverwaltungsgerichts A-2471/2008 vom 16. Mai 2008 E. 1.2 mit Hinweisen). Gemäss Verwaltungsgerichtsgesetz vom 17. Juni 2005 (VGG, SR 173.32) unterliegen Zwischenverfügungen des UVEK im Bereich der Kernenergie, die nicht in den Anwendungsbereich der Ausnahmeregelung von Art. 32 Abs. 1 Bst. e VGG fallen, der Beschwerde an das Bundesverwaltungsgericht (vgl. Art. 31, 33 Bst. d VGG i.V.m. Art. 45 f. und 47 Abs. 1 Bst. b VwVG).</w:t>
      </w:r>
    </w:p>
    <w:p>
      <w:r>
        <w:rPr>
          <w:b/>
        </w:rPr>
        <w:t>E. 2</w:t>
      </w:r>
    </w:p>
    <w:p>
      <w:r>
        <w:t>Mit Ausnahme von Entscheiden über die Zuständigkeit und über Ausstandsbegehren (Art. 45 Abs. 1 VwVG) sind Zwischenverfügungen nur dann selbständig anfechtbar, wenn sie einen nicht wieder gutzumachenden Nachteil bewirken können oder wenn durch die Gutheissung der Beschwerde sofort ein Endentscheid herbeigeführt werden könnte und damit ein bedeutender Aufwand an Zeit oder Kosten für ein weitläufiges Beweisverfahren erspart würde. Andernfalls sind Zwischenverfügungen nur mit Beschwerde gegen die Endverfügung anfechtbar (Art. 5 Abs. 2 i.V.m. Art. 46 VwVG).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und sich überdies nicht bereits in einem frühen Verfahrensstadium ohne genügend umfassende Sachverhaltskenntnis teilweise materiell festlegen müssen (BGE 135 II 30 E. 1.3.2, S. 34; Urteil des Bundesverwaltungsgerichts B-1907/2007 vom 14. Mai 2007 E. 1.1 mit Hinweis).</w:t>
      </w:r>
    </w:p>
    <w:p>
      <w:r>
        <w:rPr>
          <w:b/>
        </w:rPr>
        <w:t>E. 3</w:t>
      </w:r>
    </w:p>
    <w:p>
      <w:r>
        <w:t>Das besondere Rechtsschutzinteresse, das die sofortige Anfechtbarkeit einer Zwischenverfügung begründet, liegt im Nachteil, der entstünde, wenn die Anfechtung der Zwischenverfügung erst zusammen mit der Beschwerde gegen den Endentscheid zugelassen wäre (vgl. Pierre Tschannen/ Ulrich Zimmerli, Allgemeines Verwaltungsrecht, 2. Auflage, Bern 2005, § 28 N. 83). Der Nachteil muss nicht rechtlicher Natur sein; die Beeinträchtigung in schutzwürdigen tatsächlichen, insbesondere auch wirtschaftlichen Interessen genügt, sofern der Betroffene nicht nur versucht, eine Verlängerung oder Verteuerung des Verfahrens zu verhindern (André Moser/Michael Beusch/Lorenz Kneubühler, Prozessieren vor dem Bundesverwaltungsgericht, Basel 2008, Rz. 2.45 ff.; Martin Kayser, in Christoph Auer/Markus Müller/Benjamin Schindler [Hrsg.], Kommentar zum Bundesgesetz über das Verwaltungsverfahren, Zürich und St. Gallen 2008, N 11 zu Art. 46; Felix Uhlmann/Simone Wälle-Bär, in Bernhard Waldmann/Philippe Weissenberger [Hrsg.], Praxiskommentar zum Bundesgesetz über das Verwaltungsverfahren, Zürich, Basel und Genf 2009, N 6 ff. zu Art. 46). Davon geht mittlerweile auch das Bundesgericht für das Verfahren vor dem Bundesgericht aus, soweit es das materielle Verwaltungsrecht gebietet (vgl. BGE 135 II 30 E. 1.3.4, S. 36; Urteil des Bundesgerichts 1C_360/2008 vom 11. Mai 2009 E. 3.2.1). Die Bestimmungen von Art. 93 Abs. 1 des Bundesgerichtsgesetzes vom 17. Juni 2005 (BGG, SR 173.110) und Art. 46 Abs. 1 VwVG stimmen ohnehin praktisch wörtlich überein.</w:t>
      </w:r>
    </w:p>
    <w:p>
      <w:r>
        <w:rPr>
          <w:b/>
        </w:rPr>
        <w:t>E. 3.1</w:t>
      </w:r>
    </w:p>
    <w:p>
      <w:r>
        <w:t>Gemäss bundesgerichtlicher Rechtsprechung zu aArt. 45 Abs. 2 Bst. f VwVG (Fassung vor Inkrafttreten [1. Januar 2007] der Änderung gemäss Anhang Ziff. 10 VGG) waren Zwischenverfügungen betreffend die Ablehnung von Beweisanerbieten nur dann selbstständig anfechtbar, wenn die Beweise gefährdet waren und sie erhebliche, noch nicht abgeklärte Umstände betrafen. In der Lehre wurde eine Gefährdung dementsprechend dann bejaht, wenn das Beweismittel für den Fall einer späteren Beweisabnahme nicht mehr vorhanden oder nur mehr erschwert zugänglich gewesen wäre, beispielsweise wenn der betreffende Zeuge schwer krank war oder demnächst für längere Zeit landesabwesend sein würde (vgl. zum Ganzen Entscheid der Rekurskommission EVD vom 14. Februar 2000, veröffentlicht in Verwaltungspraxis der Bundesbehörden [VPB] 64.108, E. 2.3 mit weiteren Hinweisen).</w:t>
      </w:r>
    </w:p>
    <w:p>
      <w:r>
        <w:rPr>
          <w:b/>
        </w:rPr>
        <w:t>E. 3.2</w:t>
      </w:r>
    </w:p>
    <w:p>
      <w:r>
        <w:t>Die blosse mögliche Verfahrensverlängerung gilt gemäss obigen Ausführungen noch nicht als unheilbarer Nachteil. In der bundesgerichtlichen Praxis wurde deshalb auf Verwaltungsgerichtsbeschwerden gegen Verfügungen über die Verweigerung der Akteneinsicht regelmässig nicht eingetreten (Urteile 2A.215/2005 vom 1. September 2005 E. 1.3 sowie 2A.691/2004 vom 17. Mai 2005 E. 1.2.2 mit weiteren Hinweisen). Auch die ehemalige Rekurskommission EVD ist in ständiger Praxis bei Gesuchen um Einsicht in Prüfungsunterlagen davon ausgegangen, dass in der Regel kein nicht wieder gutzumachender Nachteil für den Beschwerdeführer besteht (unveröffentlichte Beschwerdeentscheide 01/HB-025 vom 4. Juni 2002 E. 1.2.1 und 99/HB-041 vom 31. August 2000 E. 1.2.2 mit weiteren Hinweisen). Mit Bezug auf Art. 93 Abs. 1 Bst. a BGG hat das Bundesgericht festgehalten, die Beschränkung der Akteneinsicht könne grundsätzlich, wie die Ablehnung eines Beweisantrags oder jede andere Verweigerung des rechtlichen Gehörs, auch noch bei der Anfechtung des Endentscheids voll wirksam gerügt werden. Anders verhielte es sich im umgekehrten Fall, wenn Beschwerde gegen die nach Auffassung einer Partei zu weit gehende Gewährung der Akteneinsicht erhoben würde; die (möglicherweise zu Unrecht) bereits gewährte Akteneinsicht könnte nämlich nicht mehr rückgängig gemacht werden (Urteil des Bundesgerichts 2C_599/2007 vom 5. Dezember 2007 E. 2.2 mit Hinweis; Kayser, a.a.O., N 12 f. zu Art. 46). Diese Rechtsprechung wurde vom Bundesverwaltungsgericht übernommen (vgl. Urteile des Bundesverwaltungsgerichts B-1907/2007 vom 14. Mai 2007 E. 1.1, B-7904/2007 vom 16. Januar 2008 E. 3, A-7021/2007 vom 21. April 2008 E. 1 und A-2471/2008 vom 16. Mai 2008 E. 1.4; Uhlmann/Wälle-Bär, a.a.O., N 15 zu Art. 46 ).</w:t>
      </w:r>
    </w:p>
    <w:p>
      <w:r>
        <w:rPr>
          <w:b/>
        </w:rPr>
        <w:t>E. 3.3</w:t>
      </w:r>
    </w:p>
    <w:p>
      <w:r>
        <w:t>Die erwähnte Rechtsprechung mag zwar kaum für alle Fälle als sachgerecht erscheinen, dient doch die Zulässigkeit der Anfechtung der Verweigerung der Akteneinsicht nicht nur der materiellen Wahrheit, sondern in der Regel auch der Verfahrensbeschleunigung, indem unnötige Rückweisungen vermieden werden können (vgl. Moser/ Beusch/Kneubühler, a.a.O., Rz. 2.48 Fn. 153). Vorliegend besteht indes kein Grund, von der obgenannten Praxis abzuweichen und die gesonderte Anfechtung des Zwischenentscheides über die Akteneinsicht zuzulassen.</w:t>
      </w:r>
    </w:p>
    <w:p>
      <w:r>
        <w:rPr>
          <w:b/>
        </w:rPr>
        <w:t>E. 3.3.1</w:t>
      </w:r>
    </w:p>
    <w:p>
      <w:r>
        <w:t>Die Beschwerdeführenden machen geltend, es entstehe ihnen ein nicht wieder gutzumachender Beweisführungsschaden, weil ihnen durch Verhinderung rechtzeitiger Akteneinsicht verunmöglicht werde, auf Grund genügender Sachverhaltskenntnis präzise Beweisanträge zu stellen und zu begründen, wodurch ihnen bis zum Abschluss des erstinstanzlichen Hauptverfahrens der unheilbare Verlust von rechtserheblichen Beweisen drohe. Zur Begründung ihres Standpunktes führen die Beschwerdeführenden drei Beispiele an. Das ENSI hat zu den Argumenten der Beschwerdeführenden im Einzelnen Stellung bezogen und deren Einwände nachvollziehbar widerlegt. Mit Bezug auf die Behauptung, im Rahmen des Beschwerdeverfahrens gegen die Endverfügung des UVEK könnten heute vorhandene Dokumente nicht mehr ediert werden, weist die Beschwerdegegnerin zu Recht auf die gesetzlichen Dokumentations-, Aktenaufbewahrungs- und Archivierungspflichten hin, denen sowohl sie als Anlagebetreiberin wie auch die Aufsichtsbehörden unterstehen.</w:t>
      </w:r>
    </w:p>
    <w:p>
      <w:r>
        <w:rPr>
          <w:b/>
        </w:rPr>
        <w:t>E. 3.3.2</w:t>
      </w:r>
    </w:p>
    <w:p>
      <w:r>
        <w:t>Die Vorinstanz bringt zudem vor, die Frage, ob und inwiefern die Sicherheit für den Entscheid über die Aufhebung der Befristung der Betriebsbewilligung von Relevanz sei, müsse zurzeit offen gelassen werden und sei im Endentscheid zu klären. Sollte sich zu einem späteren Zeitpunkt herausstellen, dass zur Begründung des Endentscheides zum Gesuch um Aufhebung der Befristung der Betriebsbewilligung des Kernkraftwerks Mühleberg wesentlich auf bisher vorenthaltene Dokumente abzustellen wäre, müsste sie allenfalls vor dem Endentscheid Einsicht in entsprechende Dokumente geben. Ist aber nicht abschliessend geklärt, ob und inwiefern die Sicherheit betreffende Akten für den Entscheid über die Aufhebung der Befristung überhaupt rechtserheblich und damit geeignet sind, Grundlage für den Endentscheid zu bilden, so macht es keinen Sinn, bereits zum jetzigen Zeitpunkt über die Herausgabe von Akten zu befinden, bezüglich denen sich Probleme der Geheimhaltung oder der Sicherung bzw. des Sabotageschutzes stellen. Zumindest aber spricht dies dagegen, im vorliegenden Fall eine Ausnahme von der Praxis zu machen, wonach eine Beschränkung der Akteneinsicht erst im Rahmen der Anfechtung des Endentscheids gerügt werden kann. Nicht anders verhält es sich mit Bezug auf die in der Beschwerde gestellten Eventualanträge sowie das Begehren auf Edition von Verfahrensakten früherer Bewilligungsverfahren von Atomenergie- bzw. Kernenergieanlagen. Aus den gleichen Überlegungen sind auch die erst in den Schlussbemerkungen vom 20. Mai 2009 gestellten prozessualen Anträge abzuweisen.</w:t>
      </w:r>
    </w:p>
    <w:p>
      <w:r>
        <w:rPr>
          <w:b/>
        </w:rPr>
        <w:t>E. 3.3.3</w:t>
      </w:r>
    </w:p>
    <w:p>
      <w:r>
        <w:t>Fehlt es somit am erforderlichen nicht wieder gutzumachenden Nachteil, ist auf die Beschwerde nicht einzutreten, zumal es auch an der Voraussetzung von Art. 46 Abs. 1 Bst. b VwVG mangelt.</w:t>
      </w:r>
    </w:p>
    <w:p>
      <w:r>
        <w:rPr>
          <w:b/>
        </w:rPr>
        <w:t>E. 4</w:t>
      </w:r>
    </w:p>
    <w:p>
      <w:r>
        <w:t>Bei diesem Ausgang des Verfahrens sind den Beschwerdeführenden als unterliegende Partei die Verfahrenskosten von Fr. 1'000.-- aufzuerlegen (Art. 63 Abs. 1 VwVG). Diese sind mit dem von ihnen geleisteten Kostenvorschuss in der Höhe von Fr. 1'500.-- zu verrechnen. Der Restbetrag ist ihnen nach Eintritt der Rechtskraft des vorliegenden Urteils zurückzuerstatten. Eine Parteientschädigung steht ihnen nicht zu (Art. 64 Abs. 1 VwVG). Dagegen haben die Beschwerdeführenden der anwaltlich vertretenen und obsiegenden Beschwerdegegnerin eine Parteientschädigung zu entrichten. Der Rechtsvertreter der Beschwerdegegnerin hat mit Kostennote vom 30. April 2009 einen nicht sehr detaillierten Arbeitsaufwand von ca. 25 Stunden geltend gemacht. Da dieser über dem notwendigen Zeitaufwand (vgl. Art. 7 Abs. 1 des Reglements vom 21. Februar 2008 über die Kosten und Entschädigungen vor dem Bundesverwaltungsgericht [VGKE, SR 173.320.2]) liegt, ist die Vergütung auf die Hälfte zu reduzieren und eine Parteientschädigung von Fr. 3'400.-- (inkl. Mehrwertsteuer und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