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A-793/2011 vom 20. Februar 2012</w:t>
      </w:r>
    </w:p>
    <w:p>
      <w:r>
        <w:t>Bundesverwaltungsgericht, 2012-02-20, DE</w:t>
      </w:r>
    </w:p>
    <w:p>
      <w:r>
        <w:rPr>
          <w:b/>
        </w:rPr>
        <w:t xml:space="preserve">Quelle: </w:t>
      </w:r>
      <w:r>
        <w:t>https://mcp.opencaselaw.ch/entscheid/bvger_A-793_2011</w:t>
      </w:r>
    </w:p>
    <w:p>
      <w:r>
        <w:t>FR: TAF A-793/2011 du 20 février 2012</w:t>
      </w:r>
    </w:p>
    <w:p>
      <w:r>
        <w:t>IT: TAF A-793/2011 del 20 febbraio 2012</w:t>
      </w:r>
    </w:p>
    <w:p>
      <w:pPr>
        <w:pStyle w:val="Heading2"/>
      </w:pPr>
      <w:r>
        <w:t>Regeste</w:t>
      </w:r>
    </w:p>
    <w:p>
      <w:r>
        <w:t>Staatshaftung (Bund)</w:t>
      </w:r>
    </w:p>
    <w:p>
      <w:pPr>
        <w:pStyle w:val="Heading2"/>
      </w:pPr>
      <w:r>
        <w:t>Erwägungen</w:t>
      </w:r>
    </w:p>
    <w:p>
      <w:r>
        <w:rPr>
          <w:b/>
        </w:rPr>
        <w:t>E. 1.1</w:t>
      </w:r>
    </w:p>
    <w:p>
      <w:r>
        <w:t>Die vorliegende Beschwerde richtet sich gegen die Verfügung des Eidgenössischen Finanzdepartements vom 20. Dezember 2010, mit welcher dieses das Begehren des Beschwerdeführers um Schadenersatz abgewiesen hat. Gemäss Art. 10 Abs. 1 des Verantwortlichkeitsgesetzes vom 14. März 1958 (VG, SR 170.32) richtet sich das Beschwerdeverfahren nach den allgemeinen Bestimmungen über die Bundesrechtspflege. Nach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Im Bereich der Staatshaftung liegt keine solche Ausnahme vor, womit das Bundesverwaltungsgericht für die Beurteilung der vorliegenden Beschwerde zuständig ist. Dies wird im Übrigen auch in Art. 2 Abs. 3 der Verordnung zum Verantwortlichkeitsgesetz vom 30. Dezember 1958 (SR 170.321) festgehalten.</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war Partei des vorinstanzlichen Verfahrens und ist als formeller Adressat der angefochtenen Verfügung, mit welcher sein Schadenersatzbegehren abgewiesen worden ist, auch materiell beschwert und daher zur Beschwerde legitimiert.</w:t>
      </w:r>
    </w:p>
    <w:p>
      <w:r>
        <w:rPr>
          <w:b/>
        </w:rPr>
        <w:t>E. 1.3</w:t>
      </w:r>
    </w:p>
    <w:p>
      <w:r>
        <w:t>Auf die form- und fristgerecht eingereichte Beschwerde ist demnach einzutreten (Art. 50 Abs. 1 und 52 Abs. 1 VwVG).</w:t>
      </w:r>
    </w:p>
    <w:p>
      <w:r>
        <w:rPr>
          <w:b/>
        </w:rPr>
        <w:t>E. 1.4</w:t>
      </w:r>
    </w:p>
    <w:p>
      <w:r>
        <w:t>Schadenersatzforderungen gegenüber dem Gemeinwesen weisen regelmässig einen vermögensrechtlichen Charakter auf und fallen deshalb unter die Schutzgarantien von Art. 6 der Konvention vom 4. November 1950 zum Schutze der Menschenrechte und Grundfreiheiten (SR 0.101), welche unter anderem ein Recht auf Öffentlichkeit des Verfahrens einräumen (vgl. Jost Gross, Schweizerisches Staatshaftungsrecht, 2. Auflage, Bern 2001, 11.7 S. 371). Der anwaltlich vertretene Beschwerdeführer hat jedoch keine öffentliche Verhandlung verlangt, so dass Verzicht darauf anzunehmen ist.</w:t>
      </w:r>
    </w:p>
    <w:p>
      <w:r>
        <w:rPr>
          <w:b/>
        </w:rPr>
        <w:t>E. 2</w:t>
      </w:r>
    </w:p>
    <w:p>
      <w:r>
        <w:t>Das Bundesverwaltungsgericht überprüft die angefochtene Verfügung auf Verletzung von Bundesrecht - einschliesslich der unrichtigen oder unvollständigen Feststellung des Sachverhalts und Überschreitung oder Missbrauch des Ermessens - sowie auf Angemessenheit hin (Art. 49 VwVG).</w:t>
      </w:r>
    </w:p>
    <w:p>
      <w:r>
        <w:rPr>
          <w:b/>
        </w:rPr>
        <w:t>E. 3.1</w:t>
      </w:r>
    </w:p>
    <w:p>
      <w:r>
        <w:t>Gemäss Art. 3 Abs. 1 VG haftet der Bund unabhängig von einem Verschulden für den Schaden, den ein Beamter in Ausübung seiner amtlichen Tätigkeit Dritten widerrechtlich zufügt. Zur Begründung einer Schadenersatzpflicht müssen bei der Staatshaftung analog zum Privathaftpflichtrecht folgende Tatbestandsmerkmale erfüllt sein (Heinz Rey, Ausservertragliches Haftpflichtrecht, 4. Auflage, Zürich/Basel/Genf 2008, Rz. 117; vgl. auch Urteil des Bundesverwaltungsgerichts A 301/2009 vom 16. Dezember 2009 E. 7.1 mit Hinweis): - (quantifizierter) Schaden; - Verhalten (Tun oder Unterlassen) eines Bundesbeamten in Ausübung seiner amtlichen Tätigkeit; - Widerrechtlichkeit dieses Verhaltens; - adäquate Kausalität zwischen dem Verhalten des Beamten und dem eingetretenen Schaden.</w:t>
      </w:r>
    </w:p>
    <w:p>
      <w:r>
        <w:rPr>
          <w:b/>
        </w:rPr>
        <w:t>E. 3.2</w:t>
      </w:r>
    </w:p>
    <w:p>
      <w:r>
        <w:t>Nicht umstritten ist, dass Angestellte des Bundesamtes für Justiz Beamte bzw. übrige Arbeitskräfte des Bundes im Sinne von Art. 1 Abs. 1 Bst. e VG sind und dass zwischen der Handlung der betreffenden Mitar-beiterin und ihrer amtlichen Tätigkeit ein funktionaler Zusammenhang bestand (dazu Tobias Jaag, in: Koller/Müller/Rhinow/Zimmerli, Schweizerisches Bundesverwaltungsrecht, 3. Teil, Staats- und Beamtenhaftung, 2. Auflage, Bern etc. 2006, Rz. 145 f.). Ihre Handlung kann somit zur Verantwortlichkeit der Eidgenossenschaft nach Art. 3 Abs. 1 VG führen. Umstritten ist hingegen, ob eine solche Schädigung widerrechtlich erfolgte (dazu nachfolgend E. 4) und ob zwischen der schädigenden Handlung und dem eingetretenen Schaden ein adäquater Kausalzusammenhang besteht. Aufgrund der nachfolgenden Ausführungen kann offen gelassen werden, ob es sich bei den geltend gemachten Schadensposten um einen Schaden im Rechtssinn handelt und ob dieser genügend substantiiert ist.</w:t>
      </w:r>
    </w:p>
    <w:p>
      <w:r>
        <w:rPr>
          <w:b/>
        </w:rPr>
        <w:t>E. 4.1</w:t>
      </w:r>
    </w:p>
    <w:p>
      <w:r>
        <w:t>Der Begriff der Widerrechtlichkeit nach Art. 3 Abs. 1 VG deckt sich gemäss bundesgerichtlicher Rechtsprechung mit demjenigen von Art. 41 des Obligationenrechts vom 30. März 1911 (SR 220). Nach der im privaten Haftpflichtrecht herrschenden Lehre und Praxis (objektive Widerrechtlichkeitstheorie) ergibt sich die Widerrechtlichkeit einer schädigenden Handlung daraus, dass entweder ein absolutes Recht des Geschädigten beeinträchtigt wird, ohne dass ein Rechtfertigungsgrund vorliegt (Erfolgsunrecht), oder eine reine Vermögensschädigung durch Verstoss gegen eine Norm bewirkt wird, die nach ihrem Zweck vor derartigen Schäden schützen soll (Handlungsunrecht). Im Bereich der Staatshaftung gilt eine Schadenszufügung dann als widerrechtlich, wenn die amtliche Tätigkeit des Beamten gegen Gebote oder Verbote der Rechtsordnung verstösst, die dem Schutz des verletzten Rechtsgutes dienen. Dabei stellt allerdings nicht jede noch so geringfügige Amtspflichtverletzung eine haftungsbegründende Widerrechtlichkeit dar; vielmehr ist erforderlich, dass eine für die Ausübung der amtlichen Funktion wesentliche Pflicht betroffen ist. Weiter ist lediglich eine unentschuldbare Fehlleistung, die einem pflichtbewussten Beamten nicht unterlaufen wäre, haftungsbegründend (vgl. BGE 132 II 449 E. 3.3, BGE 123 II 577 E. 4c, 4d/aa und 4d/bb je mit Hinweisen). In Fällen wie diesem, in welchen ein reiner Vermögensschaden ohne gleichzeitigen Eingriff in ein absolutes Recht zur Diskussion steht, ist also die Verletzung einer Schutznorm erforderlich. Eine solche hier einschlägige Norm besteht im Anspruch jeder Person darauf, von den staatlichen Organen nach Treu und Glauben behandelt zu werden (Art. 9 der Bundesverfassung der Schweizerischen Eidgenossenschaft vom 18. April 1999 [BV, SR 101], vgl. dazu auch das in Art. 5 Abs. 3 BV enthaltene Gebot des Handelns staatlicher Organe nach Treu und Glauben).</w:t>
      </w:r>
    </w:p>
    <w:p>
      <w:r>
        <w:rPr>
          <w:b/>
        </w:rPr>
        <w:t>E. 4.2</w:t>
      </w:r>
    </w:p>
    <w:p>
      <w:r>
        <w:t>Der in Art. 9 BV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Die unrichtige Auskunft der Verwaltungsbehörde ist nur bindend wenn: - sie vorbehaltlos erfolgt und sich auf eine konkrete, den Bürger berührende Angelegenheit bezieht; - die Behörde dabei für die Erteilung der betreffenden Auskunft zuständig war oder der Bürger die Behörde aus zureichenden Gründen als zuständig betrachten durfte; - gleichzeitig der Bürger die Unrichtigkeit der Auskunft nicht ohne Weiteres erkennen konnte; - der Bürger im Vertrauen auf die Richtigkeit der Auskunft Dispositionen getroffen hat, die nicht ohne Nachteil rückgängig gemacht werden können und - die gesetzliche Ordnung seit der Auskunftserteilung keine Änderung erfahren hat. Zudem muss das private Interesse am Vertrauensschutz das öffentliche Interesse an der richtigen Rechtsanwendung überwiegen, damit die Berufung auf Treu und Glauben durchdringen kann (BGE 137 II 182 E. 3.6, Urteile des Bundesgerichts 2A. 455/2006 vom 1. März 2007 E. 3.2, 2A.83/2006 vom 18. Oktober 2006 E. 7.1; Urteil des Bundesverwaltungsgerichts A-1500/2006 vom 1. Oktober 2008 E. 3.1 mit Hinweisen; Arthur Haefliger, Alle Schweizer sind vor dem Gesetze gleich, Bern 1985, S. 220 f.; Ulrich Häfelin/Georg Müller/Felix Uhlmann, Allgemeines Verwaltungsrecht, 6. Aufl., Zürich/St. Gallen 2010, Rz. 622 ff.; René A. Rhinow/Beat Krähenmann, Schweizerische Verwaltungsrechtsprechung, Ergänzungsband, Basel/Frankfurt am Main 1990, S. 227 ff. Nr. 74 und S. 242 Nr. 75 B III/b/2; Beatrice Weber-Dürler, Vertrauensschutz im Öffentlichen Recht, Basel/Frankfurt am Main 1983, S. 79 ff. und S. 128 ff.).</w:t>
      </w:r>
    </w:p>
    <w:p>
      <w:r>
        <w:rPr>
          <w:b/>
        </w:rPr>
        <w:t>E. 4.3</w:t>
      </w:r>
    </w:p>
    <w:p>
      <w:r>
        <w:t>Ein berechtigtes Vertrauen ist nicht nur denjenigen abzusprechen, welche die Fehlerhaftigkeit der Vertrauensgrundlage kennen, sondern auch denjenigen, welche die Mangelhaftigkeit der Vertrauensgrundlage bei gehöriger Sorgfalt hätten erkennen müssen. Dabei ist auf die individuellen Fähigkeiten und Kenntnisse der sich auf den Vertrauensschutz berufenden Person abzustellen. Eigentliche Nachforschungen über die Richtigkeit behördlichen Handelns werden von den Privaten aber nicht erwartet, sondern sie dürfen sich grundsätzlich darauf verlassen. Anlass zur Überprüfung - etwa durch eine Rückfrage bei der betreffenden Behörde - besteht einzig dort, wo die Fehlerhaftigkeit der Vertrauensgrundlage leicht erkennbar ist, z.B. bei Unklarheiten oder bei offensichtlicher Unvernünftigkeit einer Verfügung oder Auskunft (BGE 132 II 21 E. 6.1; Häfelin/Müller/Uhlmann, a.a.O., Rz. 657 f. und 682 mit Hinweisen; Weber-Dürler, a.a.O., S. 92 ff.).</w:t>
      </w:r>
    </w:p>
    <w:p>
      <w:r>
        <w:rPr>
          <w:b/>
        </w:rPr>
        <w:t>E. 4.4</w:t>
      </w:r>
    </w:p>
    <w:p>
      <w:r>
        <w:t>Wie bereits erwähnt (vgl. vorne E. 4.1), macht der Beschwerdeführer einen reinen Vermögensschaden ohne gleichzeitigen Eingriff in ein absolutes Recht geltend, so dass die Verletzung einer Schutznorm erforderlich ist. In diesem Zusammenhang sind die kumulativen Voraussetzungen des aus Art. 9 BV hergeleiteten Vertrauensgrundsatzes zu prüfen. Die Ausstellung des fälschlicherweise blanken Strafregisterauszugs vom 22. November 2007 erfolgte vorbehaltlos und bezog sich auf eine konkrete, den Beschwerdeführer betreffende Angelegenheit. Unbestrittenermassen war das BJ dafür zuständig. Im Vertrauen auf die Richtigkeit des ausgestellten Auszugs hat der Beschwerdeführer ein Einbürgerungsverfahren eingeleitet, d.h. Dispositionen getroffen, die nicht ohne Nachteil rückgängig gemacht werden können. Die gesetzliche Ordnung hat seit der Auskunftserteilung keine Änderung erfahren. Fraglich ist hingegen, ob der Beschwerdeführer die Unrichtigkeit der Auskunft nicht ohne Weiteres erkennen konnte oder hätte erkennen müssen.</w:t>
      </w:r>
    </w:p>
    <w:p>
      <w:r>
        <w:rPr>
          <w:b/>
        </w:rPr>
        <w:t>E. 4.4.1</w:t>
      </w:r>
    </w:p>
    <w:p>
      <w:r>
        <w:t>Vorliegend sind diverse, in Bezug auf den Beschwerdeführer ausgestellte Strafregisterauszüge vorhanden. Zunächst derjenige vom 8. Juni 2007, den der Beschwerdeführer den Vertretern der Gemeinde (...) anlässlich des informellen Gesprächs zum Einbürgerungsverfahren vorgelegt hat und der die Verurteilung des Kantonsgerichts (...) vom 18. März 1999 enthält. Sodann hat das Amt für Gemeinden und Justiz des Kantons (...) im Rahmen der Abklärung zu den Löschungsmodalitäten einen behördeninternen Strafregisterauszug beim BJ angefordert. Dieser findet sich in den beigezogenen Strafakten, datiert vom 27. Juni 2007, wurde dem Beschwerdeführer weitergeleitet und enthält sämtliche verübten Straftaten und Verurteilungen, nebst derjenigen gemäss Entscheid des Kantonsgerichts (...) vom 18. März 1999 auch die mit Strafbefehl der Staatsanwaltschaft (...) vom 18. Juli 2005 verhängte Strafe. Am 22. November 2007 hat der Beschwerdeführer den vorliegend strittigen, blanken Strafregisterauszug erhalten und daraufhin das Einbürgerungsverfahren eingeleitet. Im zuletzt für das eidgenössische Einbürgerungsverfahren eingeholten Strafregisterauszug vom 2. März 2009 ist entsprechend dem ursprünglichen Auszug vom 8. Juni 2007 die Verurteilung des Kantonsgerichts (...) vom 18. März 1999 aufgeführt.</w:t>
      </w:r>
    </w:p>
    <w:p>
      <w:r>
        <w:rPr>
          <w:b/>
        </w:rPr>
        <w:t>E. 4.4.2</w:t>
      </w:r>
    </w:p>
    <w:p>
      <w:r>
        <w:t>Den blanken Strafregisterauszug vom 22. November 2007 hat der Beschwerdeführer nicht als erste behördliche Auskunft erhalten. Im Gegenteil sind auf demjenigen für Privatpersonen vom 8. Juni 2007 unmissverständlich die gemäss Urteil des Kantonsgerichts (...) vom 18. März 1999 verübten Delikte und die in diesem Zusammenhang verhängte Strafe bzw. Massnahme korrekt aufgeführt. Aus dem ebenfalls zeitlich vorgelagert vom Amt für Gemeinden und Justiz des Kantons (...) eingeholten Auszug vom 27. Juni 2007 ist zusätzlich die mit Strafbefehl der Staatsanwaltschaft (...) vom 18. Juli 2005 verhängte Strafe ersichtlich. Dieser behördeninterne Auszug ist dem Beschwerdeführer aktenkundig weitergeleitet worden. Auf beiden - wohlgemerkt fünf Monate und somit relativ kurz vor dem beanstandeten Auszug erstellten - Strafregisterauszügen vom 8. bzw. 27. Juni 2007 sind die mit Urteil des Kantonsgerichts (...) vom 18. März 1999 geahndeten Straftaten vermerkt. Der danach erhaltene, versehentlich blanke Strafregisterauszug steht im Widerspruch dazu. Ausserdem hat sich der Beschwerdeführer aktenkundig im Juni 2007 wegen der Löschung seines Eintrags im Strafregister an den damaligen Leiter Justizvollzug des Amts für Justiz und Gemeinden des Kantons (...) gewendet. Mit Schreiben vom 21. Juni 2007 wurde ihm nebst Hinweis auf die gesetzlichen Grundlagen mitgeteilt, dass seine Massnahme am 28. Dezember 2006 nach Ablauf der Probezeit aufgehoben worden sei, womit die siebeneinhalb-jährige Entfernungsfrist ab diesem Datum zu laufen beginne und das Urteil nach Ablauf dieser Frist auf dem Strafregisterauszug für Private nicht mehr ersichtlich sei. Diese Auskunft trifft zu und stimmt mit den sich aus den korrekt erstellten Strafauszügen ergebenden Informationen überein. Der Beschwerdeführer bestreitet im Übrigen nicht, dieses Schreiben erhalten zu haben. Die mit Strafbefehl der Staatsanwaltschaft (...) vom 18. Juli 2005 erfolgte Verurteilung ist richtigerweise in Anwendung von Art. 371 Abs. 3bis des Schweizerischen Strafgesetzbuchs vom 21. Dezember 1937 (SR 311.0) nicht mehr auf den korrekt ausgestellten Strafregisterauszügen für Privatpersonen vom 8. Juni 2007 und vom 2. März 2009 aufgeführt. Von Anfang an waren also nur die Delikte und die dafür ausgesprochene Strafe bzw. Massnahme gemäss Urteil des Kantonsgerichts (...) vom 18. März 1999 aus allen direkt an den Beschwerdeführer adressierten Strafregisterauszügen für Privatpersonen ersichtlich. Es ist also nicht so, dass die mit vorgenanntem Strafbefehl verhängte Strafe zunächst ebenfalls noch aufgeführt und danach gelöscht worden ist, so dass der Beschwerdeführer als juristischer Laie allenfalls fälschlicherweise darauf vertraut hat, es sei die Löschung aller Straftatbestände und Massnahmen erfolgt. Vielmehr war erst der nachträglich angeforderte Strafregisterauszug vom 22. November 2007 versehentlich blank. Im Wissen um diese Tatsachen und seine Delinquenz durfte der Beschwerdeführer nicht berechtigterweise auf die Richtigkeit des blanken Strafregisterauszugs vom 22. November 2007 vertrauen.</w:t>
      </w:r>
    </w:p>
    <w:p>
      <w:r>
        <w:rPr>
          <w:b/>
        </w:rPr>
        <w:t>E. 4.4.3</w:t>
      </w:r>
    </w:p>
    <w:p>
      <w:r>
        <w:t>Gemäss seiner Sachverhaltsvariante hat sich der Beschwerdeführer im November 2007 telefonisch beim BJ hinsichtlich der Modalitäten einer vorzeitigen Löschung erkundigt. Dieser Einwand ist unbehelflich, im Gegenteil: Denn auch der Durchschnittsbürger verfügt in vielen Fällen über fragmentarische Rechtskenntnisse, ohne den Gesetzesinhalt genau zu kennen (Weber-Dürler, a.a.O., S. 94). Dies will im Fall des Beschwerdeführers, welcher zwar aus der Türkei stammt, aber in der Schweiz geboren wurde und sein gesamtes Leben hier verbracht hat, heissen, dass es ihm klar hätte sein müssen, dass die Löschung von Straftaten aus einem öffentlichen Register nicht mittels formlosem Anruf bewirkt werden kann, zumal ihm gemäss eigenen Angaben bloss Abklärungen sowie ein Rückruf versprochen worden sind. Hinzu kommt, dass er mit dem bereits erwähnten Schreiben des damaligen Leiters Justizvollzug des Kantons (...) vom 21. Juni 2007 darauf hingewiesen worden ist, dass Anträge auf vorzeitige Löschungen nicht mehr möglich seien. Demnach durfte er umso weniger auf die Richtigkeit des kommentarlos erhaltenen blanken Strafregisterauszugs vertrauen, welchen er zwei Tage zuvor im Internet bestellt hatte (vgl. Beilage 36 zur Vernehmlassung). Vielmehr hätte er sich beim BJ nach dem Ergebnis der getroffenen Abklärungen erkundigen müssen, um den Widerspruch des erhaltenen blanken Strafregisterauszugs zu vorgenanntem Schreiben zu klären (vgl. auch Weber-Dürler, a.a.O., S. 95 betreffend Anfrage des Durchschnittsbürgers bei der Behörde zur Kontrolle).</w:t>
      </w:r>
    </w:p>
    <w:p>
      <w:r>
        <w:rPr>
          <w:b/>
        </w:rPr>
        <w:t>E. 5</w:t>
      </w:r>
    </w:p>
    <w:p>
      <w:r>
        <w:t>Zusammenfassend ist festzuhalten, dass der Beschwerdeführer die Unrichtigkeit des Strafregisterauszugs vom 22. November 2007 ohne Weiteres hätte erkennen können. Folglich mangelt es am berechtigten Vertrauen in die getätigte behördliche Auskunft, weshalb die Widerrechtlichkeit des Verhaltens der Mitarbeiterin des BJ zu verneinen ist. Da es somit an einer Haftungsvoraussetzung fehlt und sämtliche Haftungsvoraussetzungen kumulativ vorliegen müssen, können die übrigen strittigen Punkte ungeprüft bleiben. Demnach erweist sich die Forderung des Beschwerdeführers als unbegründet und die Beschwerde ist abzuweisen.</w:t>
      </w:r>
    </w:p>
    <w:p>
      <w:r>
        <w:rPr>
          <w:b/>
        </w:rPr>
        <w:t>E. 6</w:t>
      </w:r>
    </w:p>
    <w:p>
      <w:r>
        <w:t>Bei diesem Verfahrensausgang unterliegt der Beschwerdeführer, weshalb ihm die Verfahrenskosten in der Höhe von Fr. 700.- auferlegt werden (Art. 63 Abs. 1 VwVG). Sie werden mit dem geleisteten Kostenvorschuss in derselben Höhe verrechnet.</w:t>
      </w:r>
    </w:p>
    <w:p>
      <w:r>
        <w:rPr>
          <w:b/>
        </w:rPr>
        <w:t>E. 7</w:t>
      </w:r>
    </w:p>
    <w:p>
      <w:r>
        <w:t>Dem unterliegenden Beschwerdeführer ist keine Parteientschädigung zuzusprechen (Art. 64 Abs. 1 VwVG, Art. 7 Abs. 1 des Reglements vom 21. Februar 2008 über die Kosten und Entschädigungen vor dem Bundesverwaltungsgericht [VGKE, SR 173.320.2] e contrario). Die Vorinstanz als Bundesbehörde hat unabhängig vom Ausgang des Verfahrens keinen Anspruch auf Parteientschädigung (Art. 7 Abs. 3 VGKE).</w:t>
      </w:r>
    </w:p>
    <w:p>
      <w:r>
        <w:rPr>
          <w:b/>
        </w:rPr>
        <w:t>E. 8</w:t>
      </w:r>
    </w:p>
    <w:p>
      <w:r>
        <w:t>Entscheide des Bundesverwaltungsgerichts auf dem Gebiet der Staatshaftung können beim Bundesgericht angefochten werden, wenn der Streitwert mindestens Fr. 30'000.- beträgt oder wenn sich eine Rechtsfrage von grundsätzlicher Bedeutung stellt (Art. 85 Abs. 1 Bst. a und Abs. 2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