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A-7872/2010 vom 17. Oktober 2011</w:t>
      </w:r>
    </w:p>
    <w:p>
      <w:r>
        <w:t>Bundesverwaltungsgericht, 2011-10-17, DE</w:t>
      </w:r>
    </w:p>
    <w:p>
      <w:r>
        <w:rPr>
          <w:b/>
        </w:rPr>
        <w:t xml:space="preserve">Quelle: </w:t>
      </w:r>
      <w:r>
        <w:t>https://mcp.opencaselaw.ch/entscheid/bvger_A-7872_2010</w:t>
      </w:r>
    </w:p>
    <w:p>
      <w:r>
        <w:t>FR: TAF A-7872/2010 du 17 octobre 2011</w:t>
      </w:r>
    </w:p>
    <w:p>
      <w:r>
        <w:t>IT: TAF A-7872/2010 del 17 ottobre 2011</w:t>
      </w:r>
    </w:p>
    <w:p>
      <w:pPr>
        <w:pStyle w:val="Heading2"/>
      </w:pPr>
      <w:r>
        <w:t>Regeste</w:t>
      </w:r>
    </w:p>
    <w:p>
      <w:r>
        <w:t>Hochspannungsleitungen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Gemäss Art. 31 des Bundes­gesetzes über das Bundesverwaltungsgericht vom 17. Juni 2005 (VGG, SR 173.32) beurteilt das Bundesverwaltungs­ge­richt Beschwerden gegen Verfügungen nach Art. 5 des Bundesgesetzes über das Verwaltungs­verfahren vom 20. Dezember 1968 (VwVG, SR 172.021), sofern keine Ausnahme nach Art. 32 VGG vorliegt. Als Vorinstan­zen gelten die in Art. 33 und 34 VGG genannten Behörden. Zu den zu­lässigen Anfechtungsobjekten gehören die Entscheide des BFE in Plan­genehmigungsverfahren nach Art. 16h Abs. 2 EleG. Das Bun­des­ver­wal­tungs­gericht ist damit zur Beurtei­lung der vorliegenden Be­schwer­de be­treffend die Teilstrecke Mast Nr. 1 A/B bis Mast Nr. 12 zustän­dig. Das Ver­fahren vor dem Bundesverwal­tungsgericht richtet sich - so­weit das VGG nichts anderes bestimmt (Art. 37 VGG) - nach dem VwVG.</w:t>
      </w:r>
    </w:p>
    <w:p>
      <w:r>
        <w:rPr>
          <w:b/>
        </w:rPr>
        <w:t>E. 2</w:t>
      </w:r>
    </w:p>
    <w:p>
      <w:r>
        <w:t>Zur Beschwerde ist nach Art. 48 Abs. 1 VwVG berechtigt, wer vor der Vorin­stanz am Verfahren teilgenommen hat oder keine Möglichkeit zur Teilnah­me erhalten hat (Bst. a), durch die angefochtene Verfügung besonders berührt ist (Bst. b) und ein schutzwürdiges Interesse an deren Aufhe­bung oder Ände­rung hat (Bst. c).</w:t>
      </w:r>
    </w:p>
    <w:p>
      <w:r>
        <w:rPr>
          <w:b/>
        </w:rPr>
        <w:t>E. 2.1</w:t>
      </w:r>
    </w:p>
    <w:p>
      <w:r>
        <w:t>Die Beschwerdeführenden haben als Einsprecher am vorinstanzlichen Verfahren teilgenommen, womit die Voraussetzung nach Art. 48 Abs. 1 Bst. a VwVG für die Legitimation zur Beschwerdeerhebung gegeben ist.</w:t>
      </w:r>
    </w:p>
    <w:p>
      <w:r>
        <w:rPr>
          <w:b/>
        </w:rPr>
        <w:t>E. 2.2</w:t>
      </w:r>
    </w:p>
    <w:p>
      <w:r>
        <w:t>Weiter sind gemäss Art. 48 Abs. 1 Bst. b und c ein besonderes Berührt­sein durch das Projekt und ein schutz­würdiges Interesse an dessen Auf­hebung oder Änderung erforderlich. Wer Beschwerde führt, muss stär­ker als die Allgemeinheit betroffen sein und in einer besonderen, beachtens­werten, nahen Beziehung zum Streit­gegenstand stehen. Ein schutzwür­diges Interesse liegt vor, wenn die tat­sächliche oder rechtliche Situation der Beschwerdeführenden durch den Ausgang des Verfahrens beeinflusst werden kann. Diese Anforderun­gen sollen die Popularbeschwerde aus­schliessen (vgl. ANDRÉ MOSER/MICHAEL BEUSCH/LORENZ KNEUBÜHLER, Prozessie­ren vor dem Bundesverwal­tungsgericht, Basel 2008, Rz. 2.65 ff.). Aus den Akten geht hervor, dass die projektier­te Freileitung über ein Grund­stück des Beschwerdeführers 1 führen soll. Der Beschwerdeführer 1 ist dadurch besonders berührt und in schutzwür­digen Interessen betrof­fen, weshalb er zur Beschwerde legitimiert ist. Für die Bejahung der Zu­lässigkeit einer Beschwerde genügt es, wenn zumindest ein Beteiligter legi­timiert ist, insbesondere wenn die Beschwerdeführenden wie hier gemein­sam auftreten (vgl. Urteil des Bundesgerichts vom 7. September 1998 E. 2, pu­bliziert in: Schweizerisches Zentralblatt für Staats- und Verwal­tungsrecht [ZBl] 101/2000 S. 83 ff.). Es muss somit nicht näher geprüft wer­den, ob die Beschwerdefüh­renden 2 legitimiert sind.</w:t>
      </w:r>
    </w:p>
    <w:p>
      <w:r>
        <w:rPr>
          <w:b/>
        </w:rPr>
        <w:t>E. 2.3</w:t>
      </w:r>
    </w:p>
    <w:p>
      <w:r>
        <w:t>Die Beschwerde richtet sich gegen einen Plangenehmigungsentscheid des BFE betreffend die 110 kV-Leitung Obfelden-Bremgarten und die 16 kV-Hauptleitung Bremgarten-Rottenschwil. Gegenstand dieses Ver­fah­rens ist lediglich der Abschnitt von Mast Nr. 1 A/B bis Mast Nr. 12; der Aus­bau der angrenzenden Abschnitte ist Gegenstand anderer Verfahren. So­weit also die Beschwerdeführenden die Verkabelung oder eine an­de­re Ab­änderung des Projekts im Abschnitt von Mast Nr. 12 bis Rotten­schwil be­gehren, kann nicht darauf eingetreten werden, weil dieser Abschnitt nicht zum Anfechtungsobjekt gehört. Die Beschwerdeführenden zo­gen ihre Be­gehren bezüglich der enteignungsrechtlichen Fragen zurück; die­se sind somit nicht mehr Streitgegenstand und die Beschwerde ist insofern gegenstandslos geworden. Die Fokussierung der Beschwerde auf die Verkabelung (vgl. Replik / Bst. H des Sachverhalts) stellt keine Er­wei­terung des Streitgegenstands dar, da die Beschwerdeführenden die Prü­fung der Verkabelung bereits in der Beschwerdeschrift als Eventualan­trag stellten.</w:t>
      </w:r>
    </w:p>
    <w:p>
      <w:r>
        <w:rPr>
          <w:b/>
        </w:rPr>
        <w:t>E. 3</w:t>
      </w:r>
    </w:p>
    <w:p>
      <w:r>
        <w:t>Auf die frist- und formgerecht eingereichte Beschwerde (vgl. Art. 50 und Art. 52 VwVG) ist einzutreten.</w:t>
      </w:r>
    </w:p>
    <w:p>
      <w:r>
        <w:rPr>
          <w:b/>
        </w:rPr>
        <w:t>E. 4</w:t>
      </w:r>
    </w:p>
    <w:p>
      <w:r>
        <w:t>Das Bundesverwaltungsgericht entscheidet grundsätzlich mit uneingeschränk­ter Kognition. Es überprüft die angefochtene Verfügung respektive das angefochtene Urteil auf Rechtsverletzungen - einschliesslich unrich­tiger oder unvollständiger Feststellung des rechtserheblichen Sachver­halts und Rechtsfehler bei der Ausübung des Ermessens - sowie auf An­gemessenheit (Art. 49 VwVG). Bei der Angemessenheitskontrolle hat sich das Bundesverwaltungsgericht - insbesondere bei technischen Fragen und wenn die Vorinstanz ihren Ent­scheid gestützt auf die Berichte von Fachbehörden gefällt hat - je­doch eine gewisse Zurückhaltung aufzuerlegen (vgl. Moser/Beusch/ Kneu­büh­ler, a.a.O., Rz. 2.149 ff.). In diesen Fällen hat es primär zu klären, ob alle be­rührten Interessen ermittelt und beurteilt sowie ob die mögli­chen Aus­wir­kungen des Projekts bei der Entscheidfindung berücksichtigt wur­den. Es untersucht daher lediglich, ob sich die Vorinstanz von sachgerech­ten Er­wägungen hat leiten lassen und weicht nicht ohne Not von deren Auffas­sung ab. Voraussetzung für diese Zurückhaltung ist allerdings, dass es im konkreten Fall keine Anhaltspunkte für eine unrichtige oder un­voll­stän­di­ge Feststellung des Sachverhalts gibt und davon ausgegangen werden kann, dass die Vorinstanz die für den Entscheid wesentlichen Ge­sichts­punk­te geprüft und die erforderlichen Abklärungen sorgfältig und um­fas­send vorgenommen hat (BGE 133 II 35 E. 3; BGE 125 II 591 E. 8a; statt vieler auch Urteil des Bundesverwaltungs­gerichts A-1836/2011 vom 23. Au­gust 2011 E. 2; s.a. Christoph Bandli, Neue Verfah­ren im Koordi­na­tionsgesetz: Aus­gleich von Schutz und Nutzen mittels In­ter­es­sen­ab­wä­gung, in: URP 2001, S. 511 ff., Ziff. 6.2 S. 549). Dabei darf gemäss bun­des­gericht­li­cher Recht­spre­chung eine Vorinstanz auf Berichte und Stel­lung­nah­men der vom Ge­setz­geber beigegebenen sachkundigen Instan­zen ab­stellen, wenn sich eine solche in einem Fachbericht mit fallrele­van­ten naturwissen­schaftlichen oder technischen Fragen auseinanderge­setzt hat (Urteil des Bun­desgerichts 1E.1/2006 vom 12. April 2007 E. 5). Eine Fach­behör­de ist bei­spiels­wei­se das BAFU, das sich für landschafts- und na­turschutz­recht­liche Fragen durch besonderen Sachverstand und Fach­wis­sen auszeich­net (vgl. Art. 3 Abs. 4 NHG).</w:t>
      </w:r>
    </w:p>
    <w:p>
      <w:r>
        <w:rPr>
          <w:b/>
        </w:rPr>
        <w:t>E. 5</w:t>
      </w:r>
    </w:p>
    <w:p>
      <w:r>
        <w:t>Die Beschwerdeführenden rügen vor Bundesverwaltungsgericht - wie auch bereits im erstinstanzlichen Verfahren - die Linien­führung des Pro­jekts. Ihre Begehren vor Bundesverwaltungsgericht gehen dahin, dass kei­ne neue 110 kV-Frei­lei­tung zwischen den Masten Nr. 1A/B und Nr. 12 ent­stehen soll. Sie bringen vor, eine Erdverlegung sei tech­nisch und finan­ziell vertretbar und würde dazu bei­tragen, den Konflikt mit dem Landschafts­schutz zu umgehen. Sie bezwei­feln, dass auf dem bis­herigen Tras­see die NIS-Vorschriften nicht einge­hal­ten wer­den könnten.</w:t>
      </w:r>
    </w:p>
    <w:p>
      <w:r>
        <w:rPr>
          <w:b/>
        </w:rPr>
        <w:t>E. 6.1</w:t>
      </w:r>
    </w:p>
    <w:p>
      <w:r>
        <w:t>Das Erstellen oder Ändern einer Starkstromanlage bedarf einer Plan­geneh­mi­gung (Art. 16 EleG). Gemäss der gestützt auf Art. 3 EleG erlasse­nen Starkstromverordnung vom 30. März 1994 (SR 734.2) sind bei Pla­nung, Erstellung, Betrieb und Instandhaltung von Starkstromanlagen die mass­geblichen Vorschriften über den Natur- und Heimatschutz sowie den Land­schafts-, Umwelt- und Gewässerschutz zu beachten (Art. 7 Abs. 1). Die Rügen im vorliegenden Verfahren betreffen denn auch einzig Fragen des Landschafts- respektive Naturschutzes, da die Beschwer­deführenden die Landschafts­schutzverträglichkeit des Projekts rügen. Wie in Bst. A des Sach­verhalts erwähnt, ist vorliegend ein Gebiet betroffen, das im BLN und im Was­ser- und Zugvogelreservate-Inventar erfasst ist. Nachfolgend ist zu prüfen, ob die Vorinstanz den Sachverhalt genü­gend er­mittelt hat und der Plangenehmigungsentscheid vom 6. Oktober 2010 den gesetzlichen Vorgaben entspricht.</w:t>
      </w:r>
    </w:p>
    <w:p>
      <w:r>
        <w:rPr>
          <w:b/>
        </w:rPr>
        <w:t>E. 6.2</w:t>
      </w:r>
    </w:p>
    <w:p>
      <w:r>
        <w:t>Die Genehmigung von Plänen für Werke und Anlagen zur Beförderung von Energie ist eine Bundesaufgabe gemäss Art. 2 Bst. b des Bundes­gesetzes über den Natur- und Heimatschutz vom 1. Juli 1966 (NHG, SR 451; vgl. auch Art. 78 Abs. 2 der Bundesverfassung der Schweizerischen Eidgenossenschaft vom 18. April 1999 [BV, SR 101]). Bei der Erfüllung einer solchen Bundesaufgabe haben die Behörden und Amtsstellen des Bundes sowie seiner Anstalten und Betriebe dafür zu sorgen, dass das heimatliche Landschafts- und Ortsbild, geschichtliche Stätten sowie Natur- und Kulturdenkmäler geschont und, wo das allgemeine Interesse an ihnen überwiegt, ungeschmälert erhalten bleiben. Diese Pflicht gilt nach Art. 3 Abs. 1 i.V.m. Art. 4 NHG unabhängig davon, ob der Eingriff in ein Objekt von nationaler, regionaler oder lokaler Bedeutung vorgenommen wird; für Objekte von nationaler Bedeutung gilt allerdings ein strenge­res Schutzregime. Durch die Aufnahme eines Objekts in ein Bundesinven­tar wie das BLN wird dargetan, dass es in besonderem Masse die un­ge­schmälerte Erhaltung, jedenfalls aber unter Einbezug von Wieder­her­stel­lungs- oder angemessenen Ersatzmassnahmen die grösstmögliche Scho­nung verdient (Art. 6 Abs. 1 NHG). Ein Abweichen von der ungeschmä­ler­ten Erhaltung im Sinne der Inventare darf bei der Erfüllung einer Bun­desaufgabe nur in Erwägung gezogen werden, wenn ihr gleich- oder hö­her­wertige Interessen von ebenfalls nationaler Bedeutung ent­ge­gen­ste­hen (Art. 6 Abs. 2 NHG). Ungeschmälerte Erhaltung verdient in besonderem Masse das, was die Ob­jekte so einzigartig oder typisch macht. Zur Beurtei­lung der Schutzziel­ver­träglichkeit eines Vorhabens ist von der jeweiligen Umschreibung des Schutz­gehalts auszugehen, die in den gesondert ver­öffentlichten Beschrei­bungen zu den Gebieten des Inventars enthalten sind (vgl. statt vieler BGE 127 II 273 E. 4c mit zahlreichen Hinweisen). Zusätz­lich zu den ob­jekt­spezifischen Schutzzielen erlauben die Erläuterungen zum BLN Rück­schlüsse; sie legen allgemein für die BLN-Objekte die Grün­de für ihre nationale Bedeutung, mögliche Gefahren, bestehen­de Schutz­mass­nah­men, den anzustrebenden Schutz und Verbesserungsvor­schlä­ge dar (vgl. Art. 5 Abs. 1 NHG i.V.m. Art. 2 VBLN). Zur Beurteilung der Zulässigkeit eines Eingriffs müssen alle be­deutsamen Interessen ermit­telt, beurteilt, gewichtet und im Entscheid mög­lichst umfassend berück­sichtigt wer­den (Jörg Leimbacher, in: Kom­men­tar NHG, Zürich 1997, Rz. 22 f. zu Art. 6 NHG).</w:t>
      </w:r>
    </w:p>
    <w:p>
      <w:r>
        <w:rPr>
          <w:b/>
        </w:rPr>
        <w:t>E. 6.3</w:t>
      </w:r>
    </w:p>
    <w:p>
      <w:r>
        <w:t>Eingriffe in Wasser- und Zugvogelreservate von nationaler Bedeutung sind gemäss Art. 6 WZVV zulässig, wenn die Eingriffsinteressen die Schutz­interessen überwiegen.</w:t>
      </w:r>
    </w:p>
    <w:p>
      <w:r>
        <w:rPr>
          <w:b/>
        </w:rPr>
        <w:t>E. 7</w:t>
      </w:r>
    </w:p>
    <w:p>
      <w:r>
        <w:t>Zunächst ist zu klären, inwieweit das Projekt schutzzielrelevant ist.</w:t>
      </w:r>
    </w:p>
    <w:p>
      <w:r>
        <w:rPr>
          <w:b/>
        </w:rPr>
        <w:t>E. 7.1</w:t>
      </w:r>
    </w:p>
    <w:p>
      <w:r>
        <w:t>Die objektspezifischen Schutzziele des BLN-Objekts Nr. 1305 "Reuss­landschaft" lauten: "Eine der vielfältigsten und besterhaltenen Flusslandschaften des schweizeri­schen Mittellandes mit vorwiegend eiszeitlich geprägten Geländeformen und zahl­reichen Zeugen der erdgeschichtlichen Vergangenheit: Wallmoränen, errati­sche Blöcke, glaziale Schotter, Flussmäander. (...) Talabschnitt nördlich von Bremgarten: Nahezu unberührter Flusslauf mit weit­ausholenden Mäandern und ursprünglichen Uferwäldern. (...)" Zusätzlich ergibt sich aus den Erläuterungen zum BLN, dass BLN-Ob­jek­te durch Anlagen des Energietransports gefährdet sein können (Er­läu­te­run­gen 5.1). Weiter halten sie fest, dass Nachteile einer Veränderung durch anderweitige Vorteile mindestens ausgeglichen werden sollen und be­stehende Landschaftsschäden bei jeder sich bietenden Gelegenheit zu be­seitigen seien; auch sollen in der Regel keine neuen Freileitungen erstellt werden und die Verkabelung oder Verlegung bestehender Frei­leitun­gen an­gestrebt werden (Erläuterungen 6.2.13).</w:t>
      </w:r>
    </w:p>
    <w:p>
      <w:r>
        <w:rPr>
          <w:b/>
        </w:rPr>
        <w:t>E. 7.2</w:t>
      </w:r>
    </w:p>
    <w:p>
      <w:r>
        <w:t>Das Schutzziel des Wasser- und Zugvogel­reservats Nr. 106 "Reuss: Brem­garten - Zufikon bis Brücke Rotten­schwil" lautet: "Er­halten des Gebie­tes als Rastplatz für Wat­vögel und als Brutgebiet für ver­schiedene Was­servögel und Limikolen".</w:t>
      </w:r>
    </w:p>
    <w:p>
      <w:r>
        <w:rPr>
          <w:b/>
        </w:rPr>
        <w:t>E. 7.3</w:t>
      </w:r>
    </w:p>
    <w:p>
      <w:r>
        <w:t>Die Schutzziele des BLN sowie des Wasser- und Zug­vogel­reser­vats sind sehr allgemein gehalten. Dennoch ergibt sich daraus, dass die Reuss im Mittelpunkt beider Schutzzielumschreibungen steht, spricht doch jene des BLN-Objekts von "vielfältiger und besterhaltener Flussland­schaft" und "nahezu unberührter Flusslauf"; auch schützt das Wasser- und Zugvogelreservat insbesondere jene Vögel, die auf Wasserflächen an­gewiesen sind. Ein Gutachten zur Kon­kretisierung der Schutzziele und der Schutzzielrelevanz durch die ENHK wurde nicht aus­gearbeitet, da das BAFU dies nicht als erforderlich erachtete. Das BAFU streicht in seiner Vernehm­lassung hervor, es handle sich beim BLN-Objekt um eine weit­räumi­ge Kulturlandschaft mit parkartigem Charak­ter, die sich durch eine Vielzahl von seltenen Naturstandorten auszeich­ne und Rückzugs­ge­biet für die gefährdete Flora und Fauna der Feucht­biotope sei. So­mit kom­me insbe­sondere der Ufervegetation ein ho­her Stel­lenwert zu. Zur Reuss als Landschaftselement äussert es sich nicht nä­her.</w:t>
      </w:r>
    </w:p>
    <w:p>
      <w:r>
        <w:rPr>
          <w:b/>
        </w:rPr>
        <w:t>E. 7.4</w:t>
      </w:r>
    </w:p>
    <w:p>
      <w:r>
        <w:t>Wie in Bst. A des Sachverhalts dargelegt, sind sowohl das BLN-Ge­biet wie auch das Wasser- und Zugvogel­reservat insbesondere aufgrund der Reuss­querung betroffen. Da aus den Schutzzielen die grosse Be­deu­tung der Reuss hervorgeht, ist das Pro­jekt schutzzielrelevant. Davon ist trotz der vorgesehenen Entlastungen auszugehen, insbesondere da die pro­jek­tierte Reussquerung eine ganz andere Trasseeführung hat und über ei­nen Flussabschnitt führt, der bislang nicht von einer Leitung über­quert wird und der gut einsehbar ist.</w:t>
      </w:r>
    </w:p>
    <w:p>
      <w:r>
        <w:rPr>
          <w:b/>
        </w:rPr>
        <w:t>E. 8</w:t>
      </w:r>
    </w:p>
    <w:p>
      <w:r>
        <w:t>Im Folgenden ist zu untersuchen, ob bei der Prüfung des Projekts dessen Schutz­zielrelevanz hinreichend berücksichtigt wurde.</w:t>
      </w:r>
    </w:p>
    <w:p>
      <w:r>
        <w:rPr>
          <w:b/>
        </w:rPr>
        <w:t>E. 8.1</w:t>
      </w:r>
    </w:p>
    <w:p>
      <w:r>
        <w:t>Die Aufnahme eines Objekts in das In­ventar bedeutet nicht, dass sich am bestehenden Zustand überhaupt nichts mehr ändern darf, werden doch in den Art. 6 ff. NHG die Voraussetzungen für die Zulässigkeit von Eingriffen umschrieben. Bereits bei der Schaffung des NHG ging der Ge­setzgeber zudem davon aus, dass die Be­rücksichtigung von Entlastun­gen in einer Ge­samtbetrachtung - wenn auch mit dem Hinweis darauf, dass gering­fügi­ge Nachteile mindestens aus­geglichen werden müssen - zu­lässig sein kann (Botschaft des Bundes­rates an die Bundesversammlung zum Entwurf eines Bundesgesetzes über den Natur- und Heimatschutz vom 12. November 1965, BBl 1965 III 89 ff., 103 [Hervorhebung hin­zugefügt]; vgl. Leimbacher, a.a.O., Art. 6 Rz. 7). Das in Art. 78 Abs. 2 BV und Art. 6 Abs. 1 NHG statuierte Gebot der un­geschmälerten Erhaltung res­pektive der grösst­möglichen Schonung ge­bietet allerdings, dass mög­liche al­ternative Standorte respektive Varianten für ein Vorha­ben geprüft und die Auswirkun­gen eines Projekts auf das unumgänglich notwen­di­ge Mindestmass re­duziert werden (Leimbacher, a.a.O., Rz. 9 f. zu Art. 6). Der Gesetzgeber hat in Art. 6 Abs. 2 NHG die Gewichtung der Inter­essen weitgehend vorweggenommen, indem er ein Abweichen von der un­geschmälerten Erhaltung nur beim Vorliegen von Interessen von nationa­ler Bedeutung vorsieht. Bei einer Gesamtbetrachtung ist deshalb vor der eigentlichen Interessenabwägung zu prüfen, welche Variante mit den ge­setzlichen Schutzzielen des BLN-Inventars am besten zu vereinbaren ist. Das Bundesgericht vergleicht denn auch die Plan­genehmigung für eine Stark­stromleitung eher mit einem Sondernutzungsplan als mit einer Polizei­­bewilligung und weist darauf hin, dass eine Prüfung von Alternativen zur Prüfung der Gesetzeskonformität gehöre, wenn die massgeblichen Be­stimmungen - namentlich die offenen Interessenabwägungsnormen des Natur- und Heimatschutzrechts - eine umfassende Abwägung gebieten; ernst­haft in Betracht fal­len­de Varianten seien zu prüfen (eingehend Ur­teil des Bundesgerichts 1C_560/2010 vom 14. Juli 2011 E. 7 mit Hinwei­sen; vgl. auch Urteil des Bundesverwaltungs­gerichts A-7810/2010 vom 15. Juli 2011 E. 4). An­ders als von der Vorinstanz vorgebracht, lässt sich spätestens seit diesem Entscheid die im Urteil des Bundesgerichts 1C_76/2008 vom 5. Sep­tem­ber 2008 E. 4.1 enthaltene Feststellung, bei der Plangenehmi­gung ge­mäss Eisenbahngesetz handle es sich um eine Poli­zeierlaub­nis, nicht mehr ohne Weiteres auf die Plangenehmigung für Hoch­spannungsanlagen über­tragen. Dem Vorbrin­gen der Vor­instanz, es hand­le sich bei der Plangenehmi­gung um eine Art Polizeibe­willigung, die ent­weder zu genehmigen oder abzuwei­sen sei und die zwar einen gewissen Spielraum bei der In­teressenabwä­gung mit sich brin­ge, aber der Vorinstanz nicht erlaube, von den Gesuch­stel­lern die Ein­reichung von Alternativ­projekten zu verlan­gen, kann nicht gefolgt werden. Aus den Akten geht indes her­vor, dass sich die Vorins­tanz durch­aus mit Al­ter­nativen beschäf­tigt hat. Frag­lich ist, ob dies genü­gend eingehend erfolgt ist.</w:t>
      </w:r>
    </w:p>
    <w:p>
      <w:r>
        <w:rPr>
          <w:b/>
        </w:rPr>
        <w:t>E. 8.2</w:t>
      </w:r>
    </w:p>
    <w:p>
      <w:r>
        <w:t>Bezüglich der Trasseeführung ist ausgewiesen, dass die Leitung nicht vollständig ausserhalb des BLN-Gebiets errichtet werden kann, da der Anschlusspunkt zum nächsten Teilstück bei Mast Nr. 12 im BLN-Ge­biet liegt. Sowohl die Vorinstanz wie auch das BAFU bevorzugen die von der Be­schwerdegegnerin aus­gearbeitete neue Linienführung. Grund dafür ist, dass diese zum einen das BLN-Objekt entlastet, zum andern aber auch die Einhaltung der Grenz­werte für nichtionisierende Strahlung (NIS) zu­lässt und namentlich auch Gründe des Denkmalschutzes und das Wald­erhal­tungs­gebot gegen die Beibehaltung der bisherigen Linien­füh­rung, auch in leicht abgeänderter Form, spre­chen. Der vor­instanzliche Ent­scheid begründet denn auch die Wahl dieser Variante in nachvollziehba­rer Wei­se. Insbesondere bezüglich der NIS-Grenzwerte kommt der Vor­ins­tanz als Fach­be­hörde auch das ent­spre­chen­de Fachwissen zu; es be­steht kein An­lass, diese Ausführungen zu be­zweifeln.</w:t>
      </w:r>
    </w:p>
    <w:p>
      <w:r>
        <w:rPr>
          <w:b/>
        </w:rPr>
        <w:t>E. 8.3</w:t>
      </w:r>
    </w:p>
    <w:p>
      <w:r>
        <w:t>Zu prüfen bleibt, ob die Vorinstanz die Möglichkeit einer (Teil-)Ver­ka­be­lung der Freileitung genügend eingehend geprüft hat.</w:t>
      </w:r>
    </w:p>
    <w:p>
      <w:r>
        <w:rPr>
          <w:b/>
        </w:rPr>
        <w:t>E. 8.3.1</w:t>
      </w:r>
    </w:p>
    <w:p>
      <w:r>
        <w:t>Das Bundesgericht stellt hohe Anforderungen an den Schutz von BLN-Gebieten und räumt dem Interesse an einer Verkabelung zugunsten des Landschaftsschutzes grundsätzlich grosses Gewicht ein (vgl. Urteil des Bun­desgerichts 1A.84/2001 vom 12. März 2002 E. 2). Es stellt ins­be­son­de­re auch hohe Anforderun­gen an die Prüfung einer allfälligen Ver­ka­be­lung wie auch überhaupt an die Prüfung einer möglichst landschafts­ver­träglichen Gestaltung der erforderlichen Bauwerke (Urteil des Bun­des­gerichts 1C_560/2010 vom 14. Juli 2011 E. 8). Selbst ausserhalb von BLN-Objekten fordert es bei Landschaften mittlerer Bedeutung aus Grün­den des Landschaftsschutzes die Prüfung einer Verkabelung; dabei hebt es hervor, dass Verkabelungen im Vergleich zu früher leistungsfähiger, zu­verlässi­ger und kostengünstiger geworden sind und die Ausfallraten von Kabelan­lagen heute deutlich tiefer liegen als diejenigen von Frei­lei­tun­gen (zur Pu­blikation vorgese­henes Urteil des Bundesgerichts 1C_398/2010 vom 6. April 2011 E. 4 und 6). Es sei nicht nachvollziehbar, wes­halb kurze Teilstücke im Allgemeinen anfälliger für technische Störungen sein sollen als längere Stücke (Urteil des Bun­des­gerichts 1C_560/2010 vom 14. Juli 2011 E. 8.2).</w:t>
      </w:r>
    </w:p>
    <w:p>
      <w:r>
        <w:rPr>
          <w:b/>
        </w:rPr>
        <w:t>E. 8.3.2</w:t>
      </w:r>
    </w:p>
    <w:p>
      <w:r>
        <w:t>Unbestritten ist, dass vorliegend eine Verkabelung technisch möglich wäre. Sodann ist festzuhalten, dass sich aus der Tat­sache der be­reits rechts­kräftig bewilligten Frei­leitung ab Mast Nr. 12 in Rich­tung Rot­ten­schwil kein Recht auf eine Führung des hier inter­essieren­den Abschnitts als Freileitung ableiten lässt: Der bereits bewilligte Abschnitt un­terschei­det sich vom hier strittigen dadurch, dass er weder un­mit­tel­bar ent­lang des Flusses verläuft noch diesen über­quert und die Be­ein­trächtigung der Reuss somit nicht vergleichbar ist. Ein kon­kretes Ver­kabelungsprojekt wur­de vorliegend nicht ausgearbeitet.</w:t>
      </w:r>
    </w:p>
    <w:p>
      <w:r>
        <w:rPr>
          <w:b/>
        </w:rPr>
        <w:t>E. 8.3.3</w:t>
      </w:r>
    </w:p>
    <w:p>
      <w:r>
        <w:t>Die Beschwer­degegnerin äussert sich aus baulichen, tech­nischen, be­trieblichen und wirtschaftlichen Grün­den gegen eine Verka­belung; ihrer An­sicht nach wä­re eine Erdverlegung auch aus landschaft­lichen und natur­schützerischen Gründen nach­tei­li­ger als eine Freileitung. Sie gibt an, dass die projek­tierte Freileitung Investitions­kosten von rund Fr. 520'000.- ver­ursachen wer­de, während eine Kabel­leitung - soweit ersicht­lich bezie­hen sich die nach­folgenden Zahlen auf die gesamte neue Strecke, nicht bloss auf den Abschnitt im BLN-Objekt - Fr. 1'880'000.- kosten würde. Nicht aus­schlaggebend sei die Wirtschaftlich­keitsbetrachtung unter Berück­sichti­gung der Stromverlustkosten, da kei­ne massgeblichen Ver­lust­kos­ten anfal­len würden. Die Baukosten für eine Kabelleitung wä­ren somit 3.62 Mal teu­rer als für eine Freileitung, auf die Lebensdauer ge­rech­net sei die Erdver­legung 2.6 Mal teurer als die Frei­leitung. Diese Mehr­kosten er­scheinen nicht ohne Weiteres als unverhältnismässig und schliessen eine Ver­kabelung nicht von vornherein aus, wovon auch die Vorinstanz aus­zugehen scheint, da die Kosten für ihren Entscheid nicht ausschlagge­bend waren.</w:t>
      </w:r>
    </w:p>
    <w:p>
      <w:r>
        <w:rPr>
          <w:b/>
        </w:rPr>
        <w:t>E. 8.3.4</w:t>
      </w:r>
    </w:p>
    <w:p>
      <w:r>
        <w:t>Die Vorinstanz setzte sich in ihrem Entscheid denn auch zu Recht da­mit auseinander, ob eine (Teil-)Verkabelung der neuen Trasseeführung mög­lich und sinnvoll sei und nahm eine entsprechende Interessenabwägung vor. Darin kam sie zum Schluss, zum einen sei die Linienführung aus­serhalb des BLN-Ge­biets vom BAFU als landschaftlich schonend beur­teilt worden, zum an­dern hätte eine Verkabelung erhebliche Auswirkungen auf das Land­schafts­bild: Durch die Kabelrohrblöcke aus Beton werde eine tiefver­wur­zeln­de Vegetation verunmöglicht, mit der Folge, dass eine ent­sprechen­de Schnei­se mit Bauverbot und Pflanzenwuchsbegrenzung ent­stehe, die von blos­sem Auge zu erkennen sei. Hinzu kämen die deutlich sicht­baren Zufahrts­wege und die entsprechenden Bauwerke, um den Zu­gang zu den Muffen­schächten zu gewährleisten. Aus Sicht des Landschafts­schut­zes würde eine Verkabelung die Situation gegenüber dem Vor­lageprojekt nicht ver­bessern. Im Hinblick auf die Natur und die Umwelt wür­de eine Verkabe­lung den Boden mehr belasten als eine Freileitung. Die Verkabe­lung kön­ne zur Bodenerwärmung führen und sich auf die Boden­fauna und die land- und forstwirtschaftliche Vegetation auswirken. Wei­ter liege die gesamte Region in einem Gewässerschutzbereich, und mit der Erstel­lung einer Kabelanlage sei das Risiko verbunden, dass Trink­wasser ver­schmutzt oder die Leistung von Quellen beeinträchtigt wer­den könnten. Auch bestehe die Gefahr der unerwünschten Drainage durch die Kabelan­lage. Zu berücksichtigen sei sodann, dass die erforderli­chen Übergangs- und Lüftungsbauwerke einen zusätzlichen Bodenver­brauch nach sich ziehen würden. Somit liege eine Verkabelung in diesem BLN-Gebiet nicht im öffentlichen Interesse; dem öffentlichen Interesse an einer sicheren Stromversorgung und am Erhalt des BLN-Gebiets könne im vorliegen­den Fall durch eine Freileitung besser Rechnung getragen wer­den als durch eine Verkabelung. Die Mehrkosten seien infolgedessen im vorliegen­den Fall nicht gerechtfertigt. In der Vernehmlassung bestätigte die Vorinstanz diese Ansicht, indem sie aus­führte, dass eine Verkabelung unbestrittenermassen technisch machbar, aber insbesondere auf kurzen Strecken immer anfällig für technische Stö­rungen sei. Weiter habe sich auch das BAFU nicht für eine Verkabelung ausgesprochen; die Entscheidbehörde dürfe sich diesbezüglich auf die Würdigung der Fachbehörde abstützen.</w:t>
      </w:r>
    </w:p>
    <w:p>
      <w:r>
        <w:rPr>
          <w:b/>
        </w:rPr>
        <w:t>E. 8.3.5</w:t>
      </w:r>
    </w:p>
    <w:p>
      <w:r>
        <w:t>Nachfolgend ist näher darauf einzugehen, wie sich das BAFU im Ein­zelnen zum Verkabelungsprojekt äusserte, da sich die Vor­instanz aus­drück­lich auf dessen Ausführungen stützt.</w:t>
      </w:r>
    </w:p>
    <w:p>
      <w:r>
        <w:rPr>
          <w:b/>
        </w:rPr>
        <w:t>E. 8.3.5.1</w:t>
      </w:r>
    </w:p>
    <w:p>
      <w:r>
        <w:t>Das BAFU legt bezüglich des Abschnitts ausserhalb des BLN-Ob­jekts überzeugend dar, dass die Freileitung dem Schonungsgebot gemäss Art. 3 Abs. 1 NHG genüge, zumal sie vom Wald im Hintergrund ka­schiert werde.</w:t>
      </w:r>
    </w:p>
    <w:p>
      <w:r>
        <w:rPr>
          <w:b/>
        </w:rPr>
        <w:t>E. 8.3.5.2</w:t>
      </w:r>
    </w:p>
    <w:p>
      <w:r>
        <w:t>Hinsichtlich des Abschnitts, der gemäss neuer Trasseeführung im BLN-Ge­biet verbleibt, nimmt das BAFU nicht Stellung da­zu, ob eine Verka­belung den jewei­ligen Schutzzielen des BLN-Objekts oder des Wasser- und Zug­vogelreservats zuträglicher wäre als eine Freileitung. Es wägt die Vor- und Nachteile der jetzigen Situation und derjenigen gemäss Bauprojekt gegeneinander ab und geht aufgrund der Er­satz­mass­nahmen - unter an­derem der Verkabelung der beiden 16 kV-Lei­tun­gen über die Reuss - da­von aus, die Situation werde sich für das BLN-Gebiet insgesamt ver­bes­sern und dem Schonungsgebot somit Ge­nü­ge getan. Aufgrund der Ent­lastungen stelle das Projekt keine schwer­wie­gen­de Beeinträchtigung des betroffenen BLN-Objekts und des Was­ser- und Zugvogel-Reservats dar. Neu würden nur drei Masten, davon kei­ner im un­mit­telbaren Uferbereich, innerhalb des BLN-Objekts stehen. Wei­ter sei ab Mast Nr. 12 eine Frei­leitung bereits rechtskräftig bewilligt. Eine Verkabelung sei unverhältnis­mässig. Nicht vom BAFU stammen die von der Vorinstanz vorgebrachten Argumen­te, mit einer Verkabelung könnten Probleme des Gewässerschut­zes, der Verschmutzung von Trinkwasser, einer unerwünschten Drai­nage, einer über­mässigen phy­sikalischen Belastung des Bodens, einer Be­ein­träch­tigung der Mikrobiologie und der Vegetation, eines grösseren Land­ver­brauchs etc. ver­bunden sein. Eine Gesamtbetrachtung ist - wie in Er­wä­gung 8.1 dar­gelegt - nicht grund­sätzlich unzulässig. Die Darlegungen des BAFU sind aber zu wenig um­fassend erfolgt, da es nicht die gesamte Situation unter Prüfung allfälliger Alternativen berücksichtigte, sondern lediglich die bisherige und die ge­plante Situation verglich. Es legt nicht dar, ob und wie das BLN-Objekt so weit als möglich entlas­tet wer­den könn­te. Es fehlen insbeson­dere Ausfüh­rungen zur Frage, ob mit einer Ver­kabelung der Teilstrecke im BLN-Ge­biet die Schutz­ziele noch we­niger tan­giert würden, also ob da­durch die Aus­wirkun­gen auf das Land­schafts­bild auf ein geringeres Mass reduziert wer­den könnten. Bevor aber dem Scho­nungsgebot nicht so­weit als möglich nach­gekommen wird, liegt keine mit Art. 6 NHG verein­bare Ge­samt­betrach­tung vor (siehe vorne, Erwägung 8.1). Weiter fehlen die für die Inter­essenabwägung relevanten In­for­ma­tio­nen, ob vor dem Hin­tergrund der Schutz­ziele allenfalls As­pek­te des Naturschutzes (also z.B. Schutz der Ve­getation) gewichtiger sind als sol­che des Landschaftsschut­zes. Es ist in­folgedessen festzuhalten, dass das BAFU die Möglichkeit einer Verkabe­lung des Abschnitts im BLN-Ge­biet nicht genügend ein­ge­hend geprüft hat. Seine Aussage, auf eine Verka­belung könne verzichtet werden, über­zeugt deshalb nicht. Ohne auf den konkreten Sachver­halt ab­gestimm­te Aus­führungen ei­ner Fach­be­hör­de zu den Vor- und Nachteilen einer Freileitung gegen­über einer Verkabe­lung aus Sicht des Landschafts- und des Na­turschut­zes ist es aber nicht möglich, die Einhaltung des Schonungsgebots gemäss Art. 6 NHG zu prüfen.</w:t>
      </w:r>
    </w:p>
    <w:p>
      <w:r>
        <w:rPr>
          <w:b/>
        </w:rPr>
        <w:t>E. 8.3.6</w:t>
      </w:r>
    </w:p>
    <w:p>
      <w:r>
        <w:t>Angesichts der zu wenig umfassenden Abklärungen der Fachbehör­de durfte sich die Vorinstanz in den zentralen Punkten der Interessenab­wägung nicht auf deren Ausführungen stützen. Die Stellungnahmen der kantona­len Fachstelle bieten keinen Ersatz für diese fehlenden Grund­lagen, da sich die kantonale Fachstelle nur sehr allgemein äus­serte und namentlich auch festhielt, dass aus Sicht des Landschaftsschut­zes ei­ne Verkabelung ge­boten sein könnte, wobei Gründe des Natur­schutzes da­gegen sprechen könnten. Eine vertiefte Auseinandersetzung hinsichtlich dieser Fragen ist aber im Hin­blick auf den strengen Schutz in BLN-Ob­jekten erforderlich. Daraus ergibt sich, dass der Sachverhalt mit einer kon­kreteren Prüfung der Verkabelung unter einer Präzisierung der damit verbundenen Kosten auf dem bishe­rigen oder auf dem pro­jektierten Trassee zu ergänzen ist, was den Abschnitt innerhalb des BLN-Objekts betrifft (vgl. zur bundesgericht­lichen Praxis Erwägung 8.1). So­dann ist abzuklären, ob die Schutzzie­le des BLN-Objekts und des Was­ser- und Zugvogelreser­vats mit einer Ver­kabelung oder mit einer Frei­leitung weniger beeinträch­tigt werden. Die er­for­derlichen Abklärungen dürf­ten sich als aufwändig erweisen und setzen zudem tech­nisches Fach­wis­sen voraus. Zu prüfen wäre auch, ob die ENHK beizuziehen ist (vgl. BGE 127 II 273 E. 4b; BGE 125 II 591 E. 7a f.; Ur­teile des Bundesverwaltungs­gerichts A-7810/2010 vom 15. Juli 2011 E. 4.2.2 sowie A-438/2009 vom 8. März 2011 E. 19.7). Da die Sachver­halts­ver­voll­ständi­gung am besten durch die Vor­instanz unter Beizug der ent­sprechenden Fach­be­hörden erfolgt, recht­fer­tigt es sich ausnahms­wei­se, die Angelegen­heit an diese zurückzu­wei­sen (Art. 61 Abs. 1 VwVG; zu die­ser Möglich­keit Madeleine Camp­rubi, in: Kom­mentar zum Bundesge­setz über das Verwal­tungs­verfahren, Zü­rich/St. Gal­len 2008, Art. 61, Rz. 11; Philippe Weissen­berger, VwVG Pra­xiskommentar, Art. 61, Rz. 16; Urteile des Bun­des­ver­wal­tungs­ge­richts, A-438/2009 vom 8. März 2011 E. 20, A-6594/2010 vom 29. April 2011 E. 8.2.3 und A-1813/2009 vom 21. September 2011 E. 18.6, 18.7).</w:t>
      </w:r>
    </w:p>
    <w:p>
      <w:r>
        <w:rPr>
          <w:b/>
        </w:rPr>
        <w:t>E. 9</w:t>
      </w:r>
    </w:p>
    <w:p>
      <w:r>
        <w:t>Die Beschwerde erweist sich infolgedessen als begründet, weshalb sie in Auf­hebung des Plangenehmigungsentscheids vom 6. Oktober 2010 gutzu­heissen und an die Vorinstanz zur grundsätzlichen Prüfung und Erstellung einer Verkabelungs­va­rian­te zurückzuweisen ist, soweit sie nicht durch Rückzug gegenstandslos ge­worden ist.</w:t>
      </w:r>
    </w:p>
    <w:p>
      <w:r>
        <w:rPr>
          <w:b/>
        </w:rPr>
        <w:t>E. 10</w:t>
      </w:r>
    </w:p>
    <w:p>
      <w:r>
        <w:t>Die Verfahrenskosten sind in der Regel von der unterliegenden Partei zu tra­gen (Art. 63 Abs. 1 VwVG). Obsiegen und Unterliegen im Prozess ist grund­sätzlich nach den Rechtsbegehren der Beschwerde führenden Par­tei, gemessen am Er­gebnis der Anfechtung des vorinstanzlichen Entschei­des, zu beurteilen (BGE 123 V 156 E. 3c; Moser/Beusch/Kneu­büh­ler, a.a.O., Rz. 4.43). In der Ver­waltungsrechtspflege des Bundes gilt die Rück­weisung der Sache an die Vorinstanz zu weiteren Abklärun­gen und neu­em Entscheid (mit noch offenem Ausgang) praxisgemäss als volles Ob­siegen der Beschwer­de führenden Partei (statt vieler BGE 132 V 215 E. 6.1; Urteil des Bundesverwaltungs­gerichts A-6523/2008 vom 12. Mai 2009 E. 17.1, beide mit Hinweisen). Vorliegend unterliegt die Beschwerde­gegnerin somit vollum­fäng­lich, und die Verfahrenskosten von Fr. 2'500.- sind ihr aufzuerlegen. Den obsie­gen­den Beschwerdefüh­renden ist der geleiste­te Kostenvorschuss von Fr. 2'500.- zurückzuerstat­ten.</w:t>
      </w:r>
    </w:p>
    <w:p>
      <w:r>
        <w:rPr>
          <w:b/>
        </w:rPr>
        <w:t>E. 11</w:t>
      </w:r>
    </w:p>
    <w:p>
      <w:r>
        <w:t>Obsiegende Parteien haben Anspruch auf eine Parteientschädigung für die ihnen erwachsenden notwendigen Kosten (Art. 64 Abs. 1 VwVG). Die Be­schwerdeführenden sind anwaltlich vertreten und reichten eine Kosten­note von Fr. 7'979.60 ein. Obwohl der Anwalt keine umfangreichen Rechts­schriften einreichte, erscheint dieser Betrag nicht unverhältnismäs­sig und ist ihnen von der Beschwerdegegnerin zu erstatten.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