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A-7814/2009 vom 22. Februar 2010</w:t>
      </w:r>
    </w:p>
    <w:p>
      <w:r>
        <w:t>Bundesverwaltungsgericht, 2010-02-22, DE</w:t>
      </w:r>
    </w:p>
    <w:p>
      <w:r>
        <w:rPr>
          <w:b/>
        </w:rPr>
        <w:t xml:space="preserve">Quelle: </w:t>
      </w:r>
      <w:r>
        <w:t>https://mcp.opencaselaw.ch/entscheid/bvger_A-7814_2009</w:t>
      </w:r>
    </w:p>
    <w:p>
      <w:r>
        <w:t>FR: TAF A-7814/2009 du 22 février 2010</w:t>
      </w:r>
    </w:p>
    <w:p>
      <w:r>
        <w:t>IT: TAF A-7814/2009 del 22 febbraio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Schlussverfügung der Eidgenössischen Steuerverwaltung vom 17. November 2009 wird aufgehoben.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Vorinstanz wird verpflichtet, der Beschwerdeführerin eine Parteientschädigung in der Höhe von Fr. 20'000.-- zu bezahlen.</w:t>
      </w:r>
    </w:p>
    <w:p>
      <w:r>
        <w:rPr>
          <w:b/>
        </w:rPr>
        <w:t>E. 4</w:t>
      </w:r>
    </w:p>
    <w:p>
      <w:r>
        <w:t>Dieses Urteil geht an: die Beschwerdeführerin (Einschreiben) die Vorinstanz (Einschreiben) Der vorsitzende Richter: Der Gerichtsschreiber: Michael Beusch Urban Broger Versand am 24. Februar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