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A-7809/2010 vom 5. September 2011</w:t>
      </w:r>
    </w:p>
    <w:p>
      <w:r>
        <w:t>Bundesverwaltungsgericht, 2011-09-05, DE</w:t>
      </w:r>
    </w:p>
    <w:p>
      <w:r>
        <w:rPr>
          <w:b/>
        </w:rPr>
        <w:t xml:space="preserve">Quelle: </w:t>
      </w:r>
      <w:r>
        <w:t>https://mcp.opencaselaw.ch/entscheid/bvger_A-7809_2010</w:t>
      </w:r>
    </w:p>
    <w:p>
      <w:r>
        <w:t>FR: TAF A-7809/2010 du 5 septembre 2011</w:t>
      </w:r>
    </w:p>
    <w:p>
      <w:r>
        <w:t>IT: TAF A-7809/2010 del 5 settembre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Auf die form- und fristgerecht eingereichte Beschwerde ist einzutreten.</w:t>
      </w:r>
    </w:p>
    <w:p>
      <w:r>
        <w:rPr>
          <w:b/>
        </w:rPr>
        <w:t>E. 1.2</w:t>
      </w:r>
    </w:p>
    <w:p>
      <w:r>
        <w:t>Die ESTV stellte in Ziff. 2 des Dispositivs ihres Einspracheentscheids vom 8. Oktober 2010 fest, der Beschwerdeführer sei ab dem 1. Januar 2007 steuerpflichtig. In seiner Beschwerde beantragt der Beschwerdeführer deshalb folgerichtig neben der Aufhebung des Einspracheentscheids vom 8. Oktober 2010 die Feststellung, dass er in den Jahren 2007 und 2008 nicht mehrwertsteuerpflichtig gewesen sei. Er verlangt mit dem Feststellungsbegehren die Reformation einer Feststellung der Vorinstanz (vgl. dazu auch Urteil des Bundesverwaltungsgerichts A-1652/2006 vom 22. Juni 2009 E. 1.4). Dieses Vorgehen ist korrekt und auf das Feststellungsbegehren ist somit ebenfalls einzutreten.</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2005-2008 zugetragen hat, untersteht das vorliegende Verfahren deshalb in materieller Hinsicht dem aMWSTG. Demgegenüber ist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(Urteil des Bundesverwaltungsgerichts A-1605/2006 vom 4. März 2010 E. 1.5).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 Die Regelung von Art. 81 MWSTG ist freilich insofern von beschränkter Tragweite, als bei Überprüfung von Entscheiden, bezüglich derer das vormalige materielle (sowie davon abhängige formelle) Recht weiterhin anwendbar ist, das damalige vorinstanzliche Unberücksichtigtlassen von Art. 81 MWSTG nicht beanstandet werden kann. Im Übrigen ist der Ge-halt von Art. 81 Abs. 1 MWSTG durch die Rechtsprechung in Nachach-tung von Art. 29 Abs. 2 der Bundesverfassung der Schweizerischen Eid-genossenschaft vom 18. April 1999 (BV, SR 101) bereits bisher ange-wendet worden (Urteile des Bundesverwaltungsgerichts A-5078/2008 vom 26. Mai 2010 E. 2.1, A-705/2008 vom 12. April 2010 E. 3, A 1379/2007 vom 18. März 2010 E. 1.2.3 und A-4785/2007 vom 23. Februar 2010 E. 5.5).</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(zum Ganzen vgl. etwa Patrick L. Krauskopf/Katrin Emmenegger, in: Bernhard Waldmann/Philippe Weissenberger [Hrsg.], Praxis-kommentar zum Bundesgesetz über das Verwaltungsverfahren [nachfol-gend: Praxiskommentar], Zürich/Basel/Genf 2009, N. 15 ff. zu Art. 12). Der Untersuchungsgrundsatz wird dadurch relativiert, dass den Beteiligten gewisse Mitwirkungspflichten auferlegt werden (Art. 13 VwVG; vgl. Krauskopf/Emmenegger, a.a.O., N. 20, 51 zu Art. 12, N. 4 ff., 37 ff. zu Art. 13). Wo der Untersuchungsgrundsatz endet und die Mitwirkungspflicht beginnt, lässt sich nicht in allgemeiner Weise festlegen (Urteile des Bundesverwaltungsgerichts A-7652/2009 vom 8. Juni 2010 E. 1.4, A 3069/2007 vom 29. Januar 2008 E. 2.1). Ihr Verhältnis ist jeweils anhand des anwendbaren Verfahrenserlasses zu bestimmen. Hat eine der Untersuchungsmaxime unterworfene Behörde den Sachverhalt nicht von Amtes wegen abgeklärt, oder hat sie dies nur unvollständig getan, so bildet das einen Beschwerdegrund nach Art. 49 Bst. b VwVG (Urteil des Bundesverwaltungsgerichts A-3409/2010 vom 4. April 2011 E. 4.1; BVGE 2009/60 E. 2.1.1).</w:t>
      </w:r>
    </w:p>
    <w:p>
      <w:r>
        <w:rPr>
          <w:b/>
        </w:rPr>
        <w:t>E. 2.1.2</w:t>
      </w:r>
    </w:p>
    <w:p>
      <w:r>
        <w:t>Der Untersuchungsgrundsatz gilt auch im Mehrwertsteuerrecht. Nach Art. 81 Abs. 1 MWSTG findet der Vorbehalt für Steuerverfahren gemäss Art. 2 Abs. 1 VwVG auf das Mehrwertsteuerrecht keine Anwen-dung mehr (vgl. aber E. 1.2).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2.1.3</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(Krauskopf/Emmeneg­ger, a.a.O., N. 6, 207 ff. zu Art. 12). Gemäss dem darin verankerten Rechtsprinzip trägt derjenige den Nachteil der "Nichtnachweislichkeit" einer Tatsache, der aus ihr Rechte ableiten wollte (Urteil des Bundesgerichts 9C_267/2007 vom 4. September 2007 E. 1.3; vgl. auch Urteile des Bundesverwaltungsgerichts A-3123/2008 vom 27. April 2010 E. 2.1.3, A 1597/2006 und A-1598/2006 vom 17. August 2009 E. 4.1).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 des Bundesverwaltungsgerichts A-2998/2009 vom 11. November 2010 E. 2.1.3; vgl. auch statt vieler Urteile des Bundesverwaltungsgerichts A 1597/2006 und A-1598/2006 vom 17. August 2009 E. 4.1, A-1506/2006 vom 3. Juni 2008 E. 2.3.1, A-3069/2007 vom 29. Januar 2008 E. 1.2; Ernst Blumenstein/Peter Locher, System des schweizerischen Steuerrechts, 6. Aufl., Zürich 2002, S. 454).</w:t>
      </w:r>
    </w:p>
    <w:p>
      <w:r>
        <w:rPr>
          <w:b/>
        </w:rPr>
        <w:t>E. 2.2</w:t>
      </w:r>
    </w:p>
    <w:p>
      <w:r>
        <w:t>Der Mehrwertsteuer unterliegen insbesondere die Umsätze, die durch steuerpflichtige Personen im Inland mit entgeltlich erbrachten Lieferungen von Gegenständen und Dienstleistungen getätigt werden (Art. 5 Bst. a und b aMWSTG). 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 Nr. 02, Steuerpflicht bei der Mehrwertsteuer, gültig mit Einführung des aMWSTG per 1. Januar 2001 bis 31. Dezember 2007, Ziff. 2.2.3). Für bestehende Betriebe, bei welchen im Zeitpunkt der Aufnahme der Tätigkeit keine Steuerpflicht gegeben war, beginnt die Steuerpflicht am 1. Januar, wenn im vorangehenden Jahr die oben erwähnten Betragsgrenzen kumulativ überschritten worden sind (Art. 28 Abs. 1 aMWSTG). Massgebend für die Steuerpflicht ist das vereinnahmte Entgelt des Vorjahres; dieses ist wie folgt zu ermitteln: Einnahmen zuzüglich Entgelt aus Verrechnung und Warenhingabe an Zahlungs statt (ESTV, Spezialbroschüre Nr. 02, a.a.O., Ziff. 3.3; vgl. Urteil des Bundesverwaltungsgerichts A-2149/2008 und A-2170/2008 vom 17. Mai 2010 E. 3.2).</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A-2149/2008 und A-2170/2008 vom 17. Mai 2010 E. 3.1, A-8485/2007 vom 22. Dezember 2009 E. 2.2, A 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A-2998/2009 vom 11. November 2010 E. 2.4, A-4146/2009 vom 9. März 2010 E. 3.1 mit Hinweisen).</w:t>
      </w:r>
    </w:p>
    <w:p>
      <w:r>
        <w:rPr>
          <w:b/>
        </w:rPr>
        <w:t>E. 2.4.1</w:t>
      </w:r>
    </w:p>
    <w:p>
      <w:r>
        <w:t>Zu den Obliegenheiten der steuerpflichtigen Person gehört insbe-sondere die Buchführungspflicht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A-5875/2009 vom 16. Juni 2010 E. 3.2.1, A-1578/2006 vom 2. Oktober 2008 E. 2.4.1 mit Hinweisen).</w:t>
      </w:r>
    </w:p>
    <w:p>
      <w:r>
        <w:rPr>
          <w:b/>
        </w:rPr>
        <w:t>E. 2.4.3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(jeweils Rz. 878 ff.). Alle Geschäftsvorfälle müssen fortlaufend, chronologisch und lückenlos aufgezeichnet werden (jeweils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jeweils Rz. 893 f.; vgl. Urteil des Bundesgerichts 2A.297/2005 vom 3. Februar 2006 E. 3.1).</w:t>
      </w:r>
    </w:p>
    <w:p>
      <w:r>
        <w:rPr>
          <w:b/>
        </w:rPr>
        <w:t>E. 2.4.4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2A.657/2005 vom 9. Juni 2006 E. 3; Urteile des Bundesverwaltungsgerichts A 5875/2009 vom 16. Juni 2010 E. 3.3, A 705/2008 vom 12. April 2010 E. 2.3, A 746/2007 vom 6. November 2009 E. 2.2.1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2.5.2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A-705/2008 vom 12. April 2010 E. 2.4, A-3678/2007 und A-3680/2007 vom 18. August 2009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A-2998/2009 vom 11. November 2010 E. 2.6.2, A-705/2008 vom 12. April 2010 E. 2.4, A 3678/2007 und A-3680/2007 vom 18. August 2009 E. 3.1).</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A-3678/2007 und A 3680/2007 vom 18. August 2009 E. 3.2).</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 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 2184/2008 und A 2185/2008 vom 3. Juni 2010 E. 5.1, A-705/2008 vom 12. April 2010 E. 2.6.2, A-1379/2007 vom 18. März 2010 E. 4.2; vgl. auch Mollard, a.a.O., S. 530 ff.). Die brauchbaren Teile der Buchhaltung und allenfalls vorhandene Belege sind soweit als möglich bei der Schätzung mitzuberücksichtigen. Sie können durchaus als Basiswerte der Ermes-senstaxation fungieren (Urteile des Bundesverwaltungsgerichts A 4360/2008 und A-4415/2008 vom 4. März 2010 E. 2.5.2, A-1578/2006 vom 2. Oktober 2008 E. 4.2; Hans Gerber, Die Steuerschätzung [Veran-lagung nach Ermessen], veröffentlicht in StR 1980, S. 307).</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 3678/2007 und A-3680/2007 vom 18. August 2009 E. 3.1, 4.2).</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 des Bundesverwaltungsgerichts A-3123/2008 vom 27. April 2010 E. 2.8.2).</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 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 zum Ganzen: Urteil des Bundesverwaltungsgerichts A-2998/2009 vom 11. November 2010 E. 2.8.3).</w:t>
      </w:r>
    </w:p>
    <w:p>
      <w:r>
        <w:rPr>
          <w:b/>
        </w:rPr>
        <w:t>E. 2.8.1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2.8.2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A-2184/2008 und A-2185/2008 vom 3. Juni 2010 E. 5.2, A-4309/2008 vom 30. April 2010 E. 2.2, A-3678/2007 und A-3680/2007 vom 18. August 2009 E. 5). Diese Praxis wurde vom Bundesgericht bestätigt (Urteil des Bundesgerichts 2C_426/2007 vom 22. November 2007 E. 4.3).</w:t>
      </w:r>
    </w:p>
    <w:p>
      <w:r>
        <w:rPr>
          <w:b/>
        </w:rPr>
        <w:t>E. 2.8.3</w:t>
      </w:r>
    </w:p>
    <w:p>
      <w:r>
        <w:t>Für das Vorliegen der Voraussetzungen zur Vornahme einer Er-messenseinschätzung ist nach den allgemeinen Beweislastregeln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2.6.2) habe sich verwirklicht, so ist gemäss der objektiven Beweislastregel zu Ungunsten der ESTV zu entscheiden (vgl. Urteile des Bundesverwaltungsgerichts A 1578/2006 vom 2. Oktober 2008 E. 5.3, A-1527/2006 und A-1528/2006 vom 6. März 2008 E. 2.4).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Urteile des Bundesverwaltungsgerichts A-5460/2008 vom 12. Mai 2010 E. 2.5.4, A-1578/2006 vom 2. Oktober 2008 E. 5.3).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A-3123/2008 vom 27. April 2010 E. 2.9.3).</w:t>
      </w:r>
    </w:p>
    <w:p>
      <w:r>
        <w:rPr>
          <w:b/>
        </w:rPr>
        <w:t>E. 2.9</w:t>
      </w:r>
    </w:p>
    <w:p>
      <w:r>
        <w:t>Aus dem Gebot der Gewährung des rechtlichen Gehörs - und damit nicht nur aus Art. 33 Abs. 1 VwVG, sondern auch aus Art. 29 Abs. 2 BV -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Urteil des Bundesgerichts 2C_115/2007 vom 11. Februar 2008 E. 2.2; Urteile des Bundesverwaltungsgerichts A-2998/2009 vom 11. November 2010 E. 2.2.3, A 2149/2008 und A-2170/2008 vom 17. Mai 2010 E. 2.3, A 7703/2007 vom 15. Februar 2010 E. 4.2).</w:t>
      </w:r>
    </w:p>
    <w:p>
      <w:r>
        <w:rPr>
          <w:b/>
        </w:rPr>
        <w:t>E. 2.10</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 ist weder dem Gesetz noch den Materialen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A-1898/2009 vom 26. August 2010 E. 9.1). Ein Rückweisungsentscheid rechtfertigt sich vor allem dann, wenn weitere Tatsachen festgestellt werden müssen und ein umfassendes Beweisverfahren durchzuführen ist (Urteil des Bundesverwaltungsgerichts A-4677/2010 vom 12. Mai 2011 E. 1.3; Moser/ Beusch/Kneubüh­ler, a.a.O., Rz. 3.194).</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Erst und nur falls dies bejaht werden kann, gilt es in einem zweiten Schritt zu überprüfen, ob sich die Ermessensveranlagung in ihrer Höhe als korrekt erweist (E. 3.2 bis E. 3.4).</w:t>
      </w:r>
    </w:p>
    <w:p>
      <w:r>
        <w:rPr>
          <w:b/>
        </w:rPr>
        <w:t>E. 3.1.1</w:t>
      </w:r>
    </w:p>
    <w:p>
      <w:r>
        <w:t>Grundsätzliche Voraussetzung für eine zulässige Ermessensein-schätzung ist, dass die ESTV ihrer Untersuchungspflicht (E. 2.1) nach-gekommen ist. Entgegen der Ansicht des Beschwerdeführers war dies vorliegend der Fall. Die ESTV hat bereits mit ihrem Schreiben vom 23. Juni 2009 die Bilanzen und Erfolgsrechnungen, Aufwand- und Er-tragskonti, Fahrtenschreiber- und Arbeitszeitkontrollkarten einverlangt. Zudem nahm die ESTV am 15. Juli 2010 weitere Untersuchungshandlun-gen von Amtes wegen vor, in dem sie den Beschwerdeführer aufforderte, die gesamte Buchhaltung einschliesslich Kassabücher, Tagesrapporte und Monatszusammenstellungen über die Einnahmen der Jahre 2006 bis 2008 nachzureichen. Die ESTV hat demnach umfassende und relevante Beweismassnahmen von Amtes wegen durchgeführt. Sie hat das ihr Zu-mutbare vorgenommen, um den entscheidwesentlichen Sachverhalt mög-lichst vollständig abzuklären. Es liegt demnach keine Verletzung der Un-tersuchungspflicht vor.</w:t>
      </w:r>
    </w:p>
    <w:p>
      <w:r>
        <w:rPr>
          <w:b/>
        </w:rPr>
        <w:t>E. 3.1.2</w:t>
      </w:r>
    </w:p>
    <w:p>
      <w:r>
        <w:t>Die ESTV begründet die Vornahme der Ermessenseinschätzung mit dem Vorliegen erheblicher Buchhaltungsmängel. Es seien weder Grundbücher noch eine vollständige doppelte Buchhaltung geführt wor-den. Sowohl die Fahrtenschreiber- als auch die Kontrollkarten der Jahre 2003 bis 2006 fehlten. Im Weiteren habe der Beschwerdeführer kein fortlaufend addiertes und periodisch saldiertes Kassabuch geführt. Der Beschwerdeführer geht auf diese Ausführungen nicht weiter ein. Zunächst ist festzuhalten, dass auch wenn das Mehrwertsteuerrecht nicht schon betreffend die Feststellung der Steuerpflicht die Führung von Ge-schäftsbüchern im Sinn von Art. 58 Abs. 1 aMWSTG gebietet, der Be-schwerdeführer gehalten war, durch geeignete Massnahmen periodisch zu überprüfen, ob er die Voraussetzungen der Steuerpflicht erfüllt (E. 2.4.2). Das vorliegende Gewerbe, der Taxibetrieb, stellt einen bargeldintensiven Betrieb dar (vgl. Urteile des Bundesverwaltungsgerichts A 2998/2009 vom 11. November 2010 E. 3.2.1, A-281/2009 vom 14. Oktober 2010 E. 6.1.2, A-2149/2008 und A 2170/2008 vom 17. Mai 2010 E. 6.1.2), weshalb für diese Prüfung die Führung eines tagfertigen Kassabuches zwingend erforderlich ist. Die Bareinnahmen und -ausgaben müssen in diesem fortlaufend, lückenlos und zeitnah aufgezeichnet und durch Kassenstürze kontrolliert werden (E. 2.4.4; vgl. auch Urteil des Bundesgerichts 2A.109/2005 vom 10. März 2006 E. 2.2 und E. 4.3 mit insoweit ähnlicher Sachverhaltskonstellation). Das vom Beschwerdeführer erstellte Kassabuch erfüllt diese Anforderungen nicht. Es enthält bloss die einzelnen Ausgaben mit Datum und die zusammengefassten monatlichen Einnahmen von der B._______ sowie aus dem weiteren Taxidienst auf (mit "Taxiuhr" bezeichnet; vgl. Beilage des Beschwerdeführers zu seiner Eingabe an das Bundesverwaltungsgericht vom 18. März 2011). Im Übrigen ist fraglich, ob das Kassabuch nicht nachträglich erstellt worden ist. Diese Frage kann aber offen bleiben, da es ohnehin den relevanten Anforderungen nicht genügt. Die Aufzeichnungen erweisen sich als schwer mangelhaft; es fehlen die sachverhaltsmässigen Grundlagen zur Beantwortung der Frage, ob eine Steuerpflicht gegeben ist. Bei diesem Resultat erübrigt es sich, auf die weiteren von der ESTV genannten Gründe für die Vornahme der Ermessenseinschätzung einzugehen.</w:t>
      </w:r>
    </w:p>
    <w:p>
      <w:r>
        <w:rPr>
          <w:b/>
        </w:rPr>
        <w:t>E. 3.1.3</w:t>
      </w:r>
    </w:p>
    <w:p>
      <w:r>
        <w:t>Zusammenfassend waren die Voraussetzungen für eine Ermes-senseinschätzung gegeben (E. 2.5.1) und die ESTV war deshalb nicht nur berechtigt, sondern auch verpflichtet, eine solche vorzunehmen.</w:t>
      </w:r>
    </w:p>
    <w:p>
      <w:r>
        <w:rPr>
          <w:b/>
        </w:rPr>
        <w:t>E. 3.2.1</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2.6.2). Bereits ausgeführt wurde, dass das Bundesverwaltungsgericht bei dieser Prüfung nur dann sein eigenes Ermessen an die Stelle desjenigen der Vorinstanz setzt, wenn dieser erhebliche Ermessensfehler unterlaufen sind (E. 2.8.2). Die Beweislast für die Unrichtigkeit der Schätzung trägt der Beschwerdeführer (E. 2.8.3).</w:t>
      </w:r>
    </w:p>
    <w:p>
      <w:r>
        <w:rPr>
          <w:b/>
        </w:rPr>
        <w:t>E. 3.2.2</w:t>
      </w:r>
    </w:p>
    <w:p>
      <w:r>
        <w:t>Die Berechnung der Anzahl geschäftlich gefahrener Kilometer wird vom Beschwerdeführer nicht mehr bestritten. Insbesondere macht er nicht mehr geltend, sein Arbeitsweg sei viermal zu berücksichtigen. Dies zu Recht, denn der Beschwerdeführer konnte den Nachweis nicht erbrin-gen, dass er jeweils über Mittag nach Hause fuhr. Das von ihm bei der Vorinstanz eingereichte Arztzeugnis belegt bloss, dass er eine salzarme und fettreduzierte Ernährung einnehmen sollte, nicht aber, dass er dies tatsächlich über Mittag zu Hause tat. Die von der ESTV vorgenommene Berechnung der geschäftlich gefahrenen Kilometer anhand der Fahrten-schreiberkarten des Jahres 2007 und der Kilometerstände gemäss den Servicerechnungen 2004 bis 2006 sowie 2008 erweist sich auch sonst als rechtmässig. Die für private Zwecke in Abzug gebrachte Anzahl Kilometer (grundsätzlich 100 km pro Arbeitswoche, zusätzliche Kilometer soweit durch Fahrtenschreiberkarten belegt; vgl. Einspracheentscheid Ziff. 3.5) erscheint dem Gericht angemessen und entspricht auch dem Vorgehen der ESTV in anderen, ähnlich gelagerten Fällen (vgl. Urteil des Bundesverwaltungsgerichts A 2998/2009 vom 11. November 2010 E. 3.3.2.5). Gemäss der zutreffenden Berechnung der ESTV ist in der Folge für das Jahr 2006 von geschäftlich gefahrenen Kilometern von 36'526, für das Jahr 2007 von 41'777 km und für das Jahr 2008 von 35'577 km auszugehen.</w:t>
      </w:r>
    </w:p>
    <w:p>
      <w:r>
        <w:rPr>
          <w:b/>
        </w:rPr>
        <w:t>E. 3.2.3</w:t>
      </w:r>
    </w:p>
    <w:p>
      <w:r>
        <w:t>Der Beschwerdeführer bestreitet den von der ESTV aufgrund ihrer Erfahrungswerte geschätzte Ansatz von Fr. 2.15 Umsatz pro Kilometer. Zunächst ist daran zu erinnern,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2.8.3). Die ESTV hat ihm diesen Nachweis aber zu ermöglichen, indem sie ihm die Grund-lagen der Erfahrungszahlen kundgibt. Dies hat die ESTV in ihrem Ein-spracheentscheid vom 8. Oktober 2010 getan (vgl. dessen E. 3.4.1). Im Weiteren hat die ESTV mit ihrer Vernehmlassung das Datenblatt mit sämtlichen 38 Datensätzen eingereicht (amtl. Akten Nr. 20). Es wäre dem Beschwerdeführer frei gestanden, Einsicht in die entsprechenden Unterlagen zu verlangen. Die ESTV ist demnach ihrer Begründungspflicht nachgekommen. In der Folge ist zu prüfen, ob die ESTV sich bei ihrer Schätzung zu Recht auf diese Erfahrungszahlen gestützt hat. Dies wäre der Fall, wenn sie auf einer sicheren Grundlage beruhen und aufgrund umfassender, re-präsentativer, homogener und aktueller Stichproben gewonnen worden sind (E. 2.7.2).</w:t>
      </w:r>
    </w:p>
    <w:p>
      <w:r>
        <w:rPr>
          <w:b/>
        </w:rPr>
        <w:t>E. 3.3.1</w:t>
      </w:r>
    </w:p>
    <w:p>
      <w:r>
        <w:t>Aus dem erwähnten Datenblatt (amtl. Akten Nr. 20), das die Erhebung der Erfahrungszahlen aufzeigt, sind 38 Datensätze ersichtlich. Nach Angaben der ESTV sind zahlreiche Arten von Fahrten inbegriffen wie "Flughafen, Kundenkarte, Kreditkarten, Chemie". Die Erhebungen erfolgten in den Jahren 2001 und 2002 und beziehen sich auf die Jahre 2000 und 2001. Die Tabelle weist im Wesentlichen folgende Zahlen aus: "Total Umsatz", "Km besetzt", "Km leer", "Km total", "Fr./Km total". Bei zehn Taxis sind nur die "Km total" und die "Fr./Km total", nicht aber die "Km besetzt" und "Km leer" ausgewiesen. Der Umsatz pro Kilometer variiert zwischen Fr. 1.63 und Fr. 2.47. Der Durchschnitt der 38 Datensätze liegt bei Fr. 2.04. Nach Angaben der ESTV handelt es sich dabei um "normale" Taxis, d.h. keine Minitaxis, Limousinen oder Minibusse. Das Datenmaterial betreffe Angestellte von diversen Taxibetrieben in Basel. Die Angestellten müssten dem Arbeitgeber die erhaltenen Trinkgelder nicht abliefern. Beim Einzelunternehmer seien die Trinkgelder hingegen steuerbar, weshalb bei jenen 5% Trinkgeld hinzugerechnet bzw. der Ansatz auf Fr. 2.15 pro Kilometer festgelegt worden sei. Im Weiteren präzisierte die ESTV in ihrem Einspracheentscheid, es seien Vollzeit- und Teilzeitangestellte, Tag- und Nachtchauffeure, solche mit und ohne Funk und auch Fahrten zu Spezialpreisen berücksichtigt worden.</w:t>
      </w:r>
    </w:p>
    <w:p>
      <w:r>
        <w:rPr>
          <w:b/>
        </w:rPr>
        <w:t>E. 3.3.2</w:t>
      </w:r>
    </w:p>
    <w:p>
      <w:r>
        <w:t>Der Beschwerdeführer wendet ein, er sei nur im Besitz einer B-Konzession. Er dürfe in der Stadt keine Umsätze machen und nur am Flughafen Gäste aufladen. Dies führe jeden Tag zu unbezahlten Leerfahrten. Er habe deshalb einen geringeren Kilometeransatz.</w:t>
      </w:r>
    </w:p>
    <w:p>
      <w:r>
        <w:rPr>
          <w:b/>
        </w:rPr>
        <w:t>E. 3.3.2.1</w:t>
      </w:r>
    </w:p>
    <w:p>
      <w:r>
        <w:t>Nach § 5 Abs. 1 Ziff. b des Gesetzes vom 17. Januar 1996 über den Betrieb von Taxis des Kantons Basel-Stadt (SG 563.200; Taxigesetz) werden auf schriftliches Gesuch hin folgende Bewilligungen erteilt: a) eine Taxihalterbewilligung A für jedes Taxi, das öffentliche Standplätze benutzt (sog. "A-Taxis"), b) eine Taxihalterbewilligung B für jedes Taxi, das keine öffentlichen Standplätze benutzt (sog. "B-Taxi"). Ausnahmen hiervon können in der Verordnung vorgesehen werden. In der Verordnung vom 3. Dezember 1996 zum Taxigesetz (SG 563.210; Taxiverordnung) wird in § 6 Abs. 1 ausgeführt, dass die öffentlichen Standplätze den "A-Taxis" vorbehalten sind. "B-Taxis" dürfen dort jedoch Fahrgäste aussteigen lassen. Nach Abs. 2 der Bestimmung dürfen "A-" und "B-Taxis" überdies dort, wo das Parkieren allgemein und unbe-schränkt gestattet ist, sowie in der Blauen Zone unter Beachtung der Parkzeitbeschränkung aufgestellt werden, sofern sich innerhalb einer Dis-tanz von hundert Metern kein öffentlicher Taxistandplatz befindet.</w:t>
      </w:r>
    </w:p>
    <w:p>
      <w:r>
        <w:rPr>
          <w:b/>
        </w:rPr>
        <w:t>E. 3.3.2.2</w:t>
      </w:r>
    </w:p>
    <w:p>
      <w:r>
        <w:t>Der wesentliche Unterschied zwischen der A- und der B Bewilligung besteht somit darin, dass nur Taxis mit einer A-Bewilligung auf öffentlichen Standplätzen warten und dort Fahrgäste aufnehmen dürfen. Entgegen den Ausführungen des Beschwerdeführers darf er somit durchaus in der Stadt Gäste aufladen, jedoch nicht auf den öffentlichen Standplätzen auf diese warten. Das Bundesverwaltungsgericht erachtet es trotzdem durchaus als möglich, dass "B-Taxis" im Vergleich zu "A Taxis" mehr Leerfahrten aufweisen. "B-Taxis" können - wie gesagt - nicht auf öffentlichen Standplätzen auf ihre Kundschaft warten, sondern müssen diese - sofern sie nicht telefonisch kontaktiert werden - zumindest aktiver als "A Taxis" suchen. "B-Taxis" können solche Wartezeiten auch nicht auf Parkplätzen in der Blauen Zone verbringen. Es ist gerichtsnotorisch, dass im Zentrum von Basel Parkplätze in der Blauen Zone selten frei sind. Der Beschwerdeführer führt somit zu Recht aus, dass "B-Taxis" vermehrt "leer" herumfahren, um Gäste zu finden. Das Kriterium der Art der Bewilligung kann somit durchaus relevant für die Höhe des Umsatzes pro Kilometer sein. Die ESTV wendet ein, der Beschwerdeführer habe selber ausgeführt, an neuralgischen Punkten, d.h. bei öffentlichen Standplätzen, bildeten sich immer lange Schlangen mit entsprechenden Wartezeiten. Aus diesem Grund sei es nicht nachteilig, dass er die öffentlichen Standplätze nicht benutzen könne. Dieses Argument ist nicht stichhaltig. Zwar ist durchaus davon auszugehen, dass es bei den zentralen öffentlichen Standplätzen Warteschlangen für die Taxis gibt. Bei der vorliegenden Kalkulation des Umsatzes ist jedoch nicht die Wartedauer relevant, sondern das Verhältnis der gefahrenen Kilometer zum Umsatz.</w:t>
      </w:r>
    </w:p>
    <w:p>
      <w:r>
        <w:rPr>
          <w:b/>
        </w:rPr>
        <w:t>E. 3.3.3</w:t>
      </w:r>
    </w:p>
    <w:p>
      <w:r>
        <w:t>Dass die Art der Bewilligung für die Höhe des Umsatzes pro Kilometer massgebend sein kann, zeigen auch die Ermessenseinschätzungen der ESTV, die sie bei Taxibetrieben in anderen Städten vorgenommen hat und die in der Folge zum Teil vom Bundesverwaltungsgericht und vom Bundesgericht bestätigt worden sind. Zum Beispiel hat die ESTV in Lausanne nur bei Taxis mit einer Bewilligung A einen Kilometeransatz von Fr. 2.50 (bis 31. Januar 2002) bzw. Fr. 2.70 (ab 1. Februar 2002) zu Grunde gelegt (Urteile des Bundesgerichts 2A.253/2005 und 2A.297/2005, jeweils vom 3. Februar 2006 E. 4.2; vgl. auch Urteil des Bundesgerichts 2C_429/2009 vom 9. November 2009 E. 5.2 und Urteil des Bundesverwaltungsgerichts A-2149/2008 und A 2170/2008 vom 17. Mai 2010 E. 6.2.4). Für die Stadt Genf berücksichtigte sie bei ihren Ermessenseinschätzungen ebenfalls die Art der Taxikonzession (vgl. Urteil des Bundesverwaltungsgerichts A-281/2009 vom 14. Oktober 2010 E. 6.2.2).</w:t>
      </w:r>
    </w:p>
    <w:p>
      <w:r>
        <w:rPr>
          <w:b/>
        </w:rPr>
        <w:t>E. 3.3.4</w:t>
      </w:r>
    </w:p>
    <w:p>
      <w:r>
        <w:t>Aus den obigen Ausführungen geht hervor, dass die Art der Bewilligung bei der vorliegenden Ermessenseinschätzung durchaus ein relevantes Kriterium sein kann. Damit die Erfahrungszahlen für den Beschwerdeführer als repräsentativ bezeichnet werden können, müssten sie den Umstand berücksichtigen, dass dieser nur über eine B-Konzession verfügt. Die ESTV hat indessen bei den erhobenen 38 Datensätzen nicht nach der Bewilligungsart differenziert. Aus dem Datenblatt ist nicht ersichtlich, welche Art von Bewilligung die Taxibetriebe aufweisen. Es ist aber davon auszugehen, dass die Datensätze nur Taxibetriebe mit A Bewilligung umfassen, da die ESTV der entsprechenden Einrede des Beschwerdeführers nichts entgegen gehalten hat. Die von der ESTV verwendeten Erfahrungszahlen können in der Folge für den Beschwerdeführer als Taxiunternehmer mit einer Bewilligung B nicht als repräsentativ bezeichnet werden. Der ESTV ist deshalb bei ihrer Schätzung ein erheblicher Fehler vorzuwerfen (E. 2.8.2).</w:t>
      </w:r>
    </w:p>
    <w:p>
      <w:r>
        <w:rPr>
          <w:b/>
        </w:rPr>
        <w:t>E. 3.3.5</w:t>
      </w:r>
    </w:p>
    <w:p>
      <w:r>
        <w:t>Auf das vom Beschwerdeführer beantragte "neutrale Gutachten" über den Kilometeransatz kann im Sinn einer antizipierten Beweiswürdigung (E. 2.9) verzichtet werden. Das Bundesverwaltungsgericht hat aufgrund der Aktenlage seine Überzeugung gebildet. Ein Gutachten vermöchte daran nichts zu ändern.</w:t>
      </w:r>
    </w:p>
    <w:p>
      <w:r>
        <w:rPr>
          <w:b/>
        </w:rPr>
        <w:t>E. 3.4</w:t>
      </w:r>
    </w:p>
    <w:p>
      <w:r>
        <w:t>Nach dem Gesagten ist die Beschwerde im Sinne der Erwägungen gutzuheissen. Der Einspracheentscheid ist aufzuheben und die Sache zu neuem Entscheid an die ESTV zurückzuweisen. Sie hat eine neue Schätzung durchzuführen, welche die Konzessionsart des Beschwerdeführers (Konzession B) gebührend berücksichtigt. In der Folge erübrigt es sich, auf die weiteren Einwendungen des Beschwerdeführers einzugehen. Gegen den von der ESTV neu zu treffenden Einspracheentsscheid steht dem Beschwerdeführer erneut der Beschwerdeweg ans Bundesverwaltungsgericht offen.</w:t>
      </w:r>
    </w:p>
    <w:p>
      <w:r>
        <w:rPr>
          <w:b/>
        </w:rPr>
        <w:t>E. 4</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(Urteile des Bundesverwaltungsgerichts A-8457/2010 vom 14. Juni 2011 E. 5, A-3224/2010 vom 28. Juni 2010 E. 8 mit Hinweis). Der Beschwerdeführer gilt damit als obsiegend, weshalb ihm keine Verfahrenskosten aufzuerlegen sind. Der geleistete Kostenvorschuss von Fr. 1'700.-- wird ihm zurückerstattet. Die unterliegende Vorinstanz trägt als Bundesbehörde keine Verfahrenskosten (Art. 63 Abs. 2 VwVG). Die Vorinstanz hat dem obsiegenden Beschwerdeführer eine Parteientschädigung auszurichten (Art. 64 Abs. 1 und 2 VwVG; Art. 7 ff. des Reglements vom 21. Februar 2008 über die Kosten und Entschädigungen vor dem Bundesverwaltungsgericht [VGKE, SR 173.320.2]). Die Parteientschädigung wird in Anwendung von Art. 7 Abs. 1 VGKE auf Fr. 2'600.--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