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A-777/2018 vom 9. August 2018</w:t>
      </w:r>
    </w:p>
    <w:p>
      <w:r>
        <w:t>Bundesverwaltungsgericht, 2018-08-09, DE</w:t>
      </w:r>
    </w:p>
    <w:p>
      <w:r>
        <w:rPr>
          <w:b/>
        </w:rPr>
        <w:t xml:space="preserve">Quelle: </w:t>
      </w:r>
      <w:r>
        <w:t>https://mcp.opencaselaw.ch/entscheid/bvger_A-777_2018</w:t>
      </w:r>
    </w:p>
    <w:p>
      <w:r>
        <w:t>FR: TAF A-777/2018 du 9 août 2018</w:t>
      </w:r>
    </w:p>
    <w:p>
      <w:r>
        <w:t>IT: TAF A-777/2018 del 9 agosto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hier nicht vor und die Vorinstanz ist eine Behörde im Sinne von Art. 33 VGG, zumal sie öffentlich-rechtliche Aufgaben des Bundes erfüllt (Art. 33 Bst. h VGG i.V.m. Art. 60 Abs. 2bis BVG [SR 831.40]). Das Bundesverwaltungsgericht ist zur Behandlung der vorliegenden Beschwerde somit zuständig. Das Verfahren richtet sich nach dem VwVG, soweit das VGG nichts anderes bestimmt (Art. 37 VGG). Der Beschwerdeführer ist zur Erhebung der vorliegenden Beschwerde berechtigt (Art. 48 Abs. 1 VwVG). Auf die im Übrigen frist- und formgerecht eingereichte Beschwerde (Art. 50 Abs. 1 und Art. 52 Abs. 1 VwVG) ist einzutreten.</w:t>
      </w:r>
    </w:p>
    <w:p>
      <w:r>
        <w:rPr>
          <w:b/>
        </w:rPr>
        <w:t>E. 1.2</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BVGer A-3855/2016 vom 6. Oktober 2016 E. 2.1.2). Dieser Mindestlohn wurde bisher verschiedene Male der Entwicklung der AHV angepasst (vgl. Art. 9 BVG; statt vieler: Urteile des BVGer A-181/2016 vom 1. November 2016 E. 2.1.1 und C-6221/2014 vom 17. August 2015 E. 3.1). Im hier relevanten Zeitraum, der die Jahre 2015 und 2016 betrifft, lag die Schwelle bei Fr. 21'150.-- (AS 2014 3343).</w:t>
      </w:r>
    </w:p>
    <w:p>
      <w:r>
        <w:rPr>
          <w:b/>
        </w:rPr>
        <w:t>E. 2.1.1</w:t>
      </w:r>
    </w:p>
    <w:p>
      <w:r>
        <w:t>Ist eine arbeitnehmende Person weniger als ein Jahr lang bei einem Arbeitgebenden beschäftigt, so gilt derjenige Lohn, den sie bei ganzjähriger Beschäftigung erzielen würde, als Jahreslohn (Art. 2 Abs. 2 BVG).</w:t>
      </w:r>
    </w:p>
    <w:p>
      <w:r>
        <w:rPr>
          <w:b/>
        </w:rPr>
        <w:t>E. 2.1.2</w:t>
      </w:r>
    </w:p>
    <w:p>
      <w:r>
        <w:t>Für die Versicherungsunterstellung ist der massgebende Lohn nach dem AHVG (SR 831.10) heranzuziehen (Art. 7 Abs. 1 und Abs. 2 BVG). Die Vorinstanz ist demnach grundsätzlich an die Lohnbescheinigungen der Ausgleichskasse gebunden und hat darauf abzustellen. Allfällige Korrekturen der Lohnbescheinigungen sind nicht im Beschwerdeverfahren vor dem Bundesverwaltungsgericht, sondern direkt bei der zuständigen Ausgleichskasse und allenfalls auf dem für die Anfechtung von Entscheiden dieser Behörde vorgesehenen Rechtsweg geltend zu machen (vgl. etwa Art. 58 Abs. 1 ATSG [SR 830.1]; zum Ganzen: Urteil des BVGer A-1232/2017 vom 31. Januar 2018 E. 3.2 mit weiteren Hinweisen).</w:t>
      </w:r>
    </w:p>
    <w:p>
      <w:r>
        <w:rPr>
          <w:b/>
        </w:rPr>
        <w:t>E. 2.1.3</w:t>
      </w:r>
    </w:p>
    <w:p>
      <w:r>
        <w:t>Gemäss Art. 2 Abs. 4 BVG obliegt es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der Verordnung vom 18. April 1984 über die berufliche Alters-, Hinterlassenen- und Invalidenvorsorge (BVV 2, SR 831.441.1) nachgekommen (statt vieler: Urteil des BVGer A-7265/2016 vom 3. Mai 2017 E. 2.1.3 mit weiteren Hinweisen).</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2.3.1</w:t>
      </w:r>
    </w:p>
    <w:p>
      <w:r>
        <w:t>Die Auffangeinrichtung BVG ist eine Vorsorgeeinrichtung (Art. 60 Abs. 1 BVG) und verpflichtet, Arbeitgeber, die ihrer Pflicht zum Anschluss an eine solche nicht nachkommen, anzuschliessen (Art. 60 Abs. 2 Bst. a BVG). Der Anschluss erfolgt - wie erwähnt - rückwirkend (vgl. Art. 11 Abs. 3 und 6 BVG). Gemäss Art. 60 Abs. 2bis BVG kann die Auffangeinrichtung BVG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statt vieler: Urteile des BVGer A-6709/2017 vom 20. Juni 2018 E. 3.2.3, A-7265/2016 vom 3. Mai 2017 E. 2.2 mit weiteren Hinweisen).</w:t>
      </w:r>
    </w:p>
    <w:p>
      <w:r>
        <w:rPr>
          <w:b/>
        </w:rPr>
        <w:t>E. 2.3.2</w:t>
      </w:r>
    </w:p>
    <w:p>
      <w:r>
        <w:t>Eine besondere Konstellation ist in Art. 60 Abs. 2 Bst. d BVG geregelt: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BVG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C-2225/2012 vom 19. November 2013 E. 3.2.2). Der entsprechende Anschluss erfolgt (ebenfalls) rückwirkend auf den Zeitpunkt, in welchem die zu versichernde Person erstmals ihre Stelle antritt (vgl. Art. 3 Abs. 1 der VOAA i.V.m. Art. 11 Abs. 3 BVG und Art. 10 Abs. 1 BVG; Urteile des BVGer A-1232/2017 vom 31. Januar 2018 E. 4.4, A-6813/2016 vom 30. August 2017 E. 3.6.3, A-3819/2016 vom 15. Juni 2017 E. 3.7.3).</w:t>
      </w:r>
    </w:p>
    <w:p>
      <w:r>
        <w:rPr>
          <w:b/>
        </w:rPr>
        <w:t>E. 2.3.3</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(Urteil des BVGer A-1232/2017 vom 31. Januar 2018 E. 4.5 mit weiteren Hinweisen).</w:t>
      </w:r>
    </w:p>
    <w:p>
      <w:r>
        <w:rPr>
          <w:b/>
        </w:rPr>
        <w:t>E. 3</w:t>
      </w:r>
    </w:p>
    <w:p>
      <w:r>
        <w:t>Im vorliegenden Fall ist in sachverhaltsmässiger Hinsicht unbestritten, dass der Beschwerdeführer in den Jahren 2015 und 2016 Arbeitnehmende beschäftigt hat, er aber keiner Vorsorgeeinrichtung angeschlossen war. Strittig und zu prüfen ist, ob für den Beschwerdeführer eine Anschlusspflicht an eine Vorsorgeeinrichtung bestand. Im Zentrum des vorliegenden Verfahrens steht dabei die Frage, ob der Beschwerdeführer im Jahr 2015 seine Angestellten weniger als ein Jahr lang beschäftigt hat und entsprechend die ausbezahlten Löhne im Sinne von Art. 2 Abs. 2 BVG (E. 2.1.1) auf einen Jahreslohn aufzurechnen sind.</w:t>
      </w:r>
    </w:p>
    <w:p>
      <w:r>
        <w:rPr>
          <w:b/>
        </w:rPr>
        <w:t>E. 3.1</w:t>
      </w:r>
    </w:p>
    <w:p>
      <w:r>
        <w:t>Den vorinstanzlichen Akten lässt sich Folgendes entnehmen: Aus der Lohnbescheinigung der Ausgleichskasse vom 29. Februar 2016 für das Jahr 2015 geht hervor, dass der Beschwerdeführer zwei Arbeitnehmende beschäftigt hat: Lohnempfängerin 1 hat demnach bei einer Beitragsdauer vom 1. April 2015 bis zum 30. November 2015 einen Lohn von Fr. (...) bezogen. Lohnempfänger 2 erhielt in derselben Beitragsperiode einen Lohn von Fr. (...). Gemäss Lohnbescheinigung 2016 vom 9. Februar 2017 hat der Beschwerdeführer für die Beitragsdauer jeweils vom 1. Januar 2016 bis zum 31. Dezember 2016 betreffend Lohnempfänger 3 einen Lohn von Fr. (...) und für Lohnempfänger 2 einen Lohn von Fr. (...) deklariert. Lohnempfängerin 1 ist in der Lohnbescheinigung 2016 nicht mehr aufgeführt.</w:t>
      </w:r>
    </w:p>
    <w:p>
      <w:r>
        <w:rPr>
          <w:b/>
        </w:rPr>
        <w:t>E. 3.2</w:t>
      </w:r>
    </w:p>
    <w:p>
      <w:r>
        <w:t>Während die Vorinstanz aus der in der Lohnbescheinigung 2015 ausgewiesenen Beitragsdauer vom 1. April bis zum 30. November den Schluss zog, die Arbeitnehmenden seien weniger als ein Jahr lang beim Beschwerdeführer beschäftigt gewesen, lässt der Beschwerdeführer vorbringen, es habe sich tatsächlich und gemäss mündlicher Vereinbarung, um ganzjährige Arbeitsverhältnisse gehandelt. Dass die Auszahlung des Lohnes lediglich in der von April bis Oktober dauernden Tennissaison erfolgt sei, stelle eine blosse Zahlungsmodalität dar.</w:t>
      </w:r>
    </w:p>
    <w:p>
      <w:r>
        <w:rPr>
          <w:b/>
        </w:rPr>
        <w:t>E. 3.3</w:t>
      </w:r>
    </w:p>
    <w:p>
      <w:r>
        <w:t>Der Beschwerdeführer verkennt mit seiner Argumentation, dass die Vorinstanz bei der Beurteilung einer Versicherungsunterstellung an die Lohnbescheinigungen der Ausgleichskasse, die er zudem eigenhändig ausgefüllt hat, gebunden ist und darauf abzustellen hat (E. 2.1.2). Insofern kann der Beschwerdeführer allein aus einer allfälligen, abweichenden mündlichen arbeitsvertraglichen Regelung nichts zu seinen Gunsten ableiten. Sollte die Anstellungsdauer - wie der Beschwerdeführer vorbringt - ganzjährig bestanden haben, hätte er dies vorab bei der zuständigen Ausgleichskasse korrigieren müssen (E. 2.1.2 in fine), was er offenbar nicht getan hat. Zu Recht ist damit die Vorinstanz aufgrund der Angaben in der Lohnbescheinigung 2015 davon ausgegangen, dass das Arbeitsverhältnis mit den zwei Arbeitnehmenden weniger als ein Jahr gedauert hat. Folglich ist für die Frage der Anschlusspflicht von demjenigen Lohn auszugehen, den die Angestellten bei ganzjähriger Beschäftigung erzielt hätten (E. 2.1.1). Dies führt zu einem aufgerechneten Jahreslohn betreffend Lohnempfängerin 1 von Fr. (...) bzw. betreffend Lohnempfänger 2 von Fr. (...), womit der im Jahr 2015 massgebende Grenzwert für die BVG-Pflicht von Fr. 21'150.-- (E. 2.1) überschritten worden ist. Dass die Lohnschwelle im Jahr 2016 gemäss den verbindlichen Angaben in der Lohnbescheinigung 2016 von keinem Lohnempfänger mehr überschritten wurde, ist im Übrigen zu Recht nicht bestritten, ändert aber an einem früheren Zwangsanschluss nichts.</w:t>
      </w:r>
    </w:p>
    <w:p>
      <w:r>
        <w:rPr>
          <w:b/>
        </w:rPr>
        <w:t>E. 3.4</w:t>
      </w:r>
    </w:p>
    <w:p>
      <w:r>
        <w:t>Nach dem Gesagten hat der Beschwerdeführer ab dem 1. April 2015 zwei Personen beschäftigt, welche der BVG-Pflicht unterstanden. Weil zudem das Vorliegen eines Ausnahmetatbestands gemäss Art. 1j BVV 2 (vgl. E. 2.1.5) weder geltend gemacht noch aus den Akten ersichtlich ist, wäre er verpflichtet gewesen, sich per 1. April 2015 einer registrierten Vorsorgeeinrichtung anzuschliessen bzw. eine solche zu errichten (vgl. E. 2.1.1). Nachdem der Beschwerdeführer seiner Pflicht zum Anschluss nicht nachgekommen ist, waren vorliegend die Voraussetzungen für einen rückwirkenden Zwangsanschluss ab 1. April 2015 erfüllt. Zu prüfen bleibt, ob vorliegend eine Konstellation eines Zwangsanschlusses nach Art. 60 Abs. 2 Bst. a BVG gegeben ist (E. 2.3.1) oder ob bereits ein Zwangsanschluss ex lege im Sinne von Art. 60 Abs. 2 Bst. d BVG bestand (E. 2.3.2).</w:t>
      </w:r>
    </w:p>
    <w:p>
      <w:r>
        <w:rPr>
          <w:b/>
        </w:rPr>
        <w:t>E. 3.5</w:t>
      </w:r>
    </w:p>
    <w:p>
      <w:r>
        <w:t>Von einem Anschluss von Gesetzes wegen nach Art. 60 Abs. 2 Bst. d BVG ist auszugehen, wenn vor dem Anschluss an eine Vorsorgeeinrichtung bereits Leistungsansprüche entstanden sind (E. 2.3.2). Dies ist vorliegend der Fall: Gemäss der (verbindlichen) Lohnbescheinigung 2015 hat die Lohnempfängerin 1 bis November 2015 Lohn bezogen. In der Lohnbescheinigung 2016 ist sie nicht mehr aufgeführt. Es ist deshalb davon auszugehen, dass sie das Unternehmen bereits wieder verlassen und damit Anspruch auf eine Freizügigkeitsleistung erworben hat. Folglich ist der Beschwerdeführer von Gesetzes wegen rückwirkend per 1. April 2015 der Vorinstanz angeschlossen. Wie die Vorinstanz in ihrer Vernehmlassung zu Recht einräumt, hätte sie daher über den rückwirkenden Anschluss in feststellender statt in gestaltender Form verfügen müssen (E. 2.3.3).</w:t>
      </w:r>
    </w:p>
    <w:p>
      <w:r>
        <w:rPr>
          <w:b/>
        </w:rPr>
        <w:t>E. 3.6</w:t>
      </w:r>
    </w:p>
    <w:p>
      <w:r>
        <w:t>Nachdem sich auch die vorinstanzlichen Kosten von Fr. 450.-- für die Verfügung und von Fr. 375.-- für den Zwangsanschluss als rechtmässig erweisen (statt vieler: Urteil des BVGer A-4594/2017 vom 13. März 2018 E. 2.4.1 f.), ist nach dem Gesagten die Beschwerde lediglich in dem Sinn gutzuheissen, als der Wortlaut von Dispositiv-Ziff. I der angefochtenen Verfügung in eine Feststellung umzuformulieren ist. Im Übrigen ist die Beschwerde abzuweisen.</w:t>
      </w:r>
    </w:p>
    <w:p>
      <w:r>
        <w:rPr>
          <w:b/>
        </w:rPr>
        <w:t>E. 4</w:t>
      </w:r>
    </w:p>
    <w:p>
      <w:r>
        <w:t>Ausgangsgemäss hat der Beschwerdeführer die Verfahrenskosten vor dem Bundesverwaltungsgericht zu tragen (vgl. Art. 63 Abs. 1 VwVG), dringt er doch im Resultat mit seinem Antrag nicht durch (vgl. statt vieler: Urteil des BVGer A-2714/2017 vom 23. Mai 2018 E. 7). Die Verfahrenskosten sind auf Fr. 800.-- festzusetzen (vgl. Art. 2 Abs. 1 i.V.m.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