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A-7750/2016 vom 23. Juni 2017</w:t>
      </w:r>
    </w:p>
    <w:p>
      <w:r>
        <w:t>Bundesverwaltungsgericht, 2017-06-23, DE</w:t>
      </w:r>
    </w:p>
    <w:p>
      <w:r>
        <w:rPr>
          <w:b/>
        </w:rPr>
        <w:t xml:space="preserve">Quelle: </w:t>
      </w:r>
      <w:r>
        <w:t>https://mcp.opencaselaw.ch/entscheid/bvger_A-7750_2016</w:t>
      </w:r>
    </w:p>
    <w:p>
      <w:r>
        <w:t>FR: TAF A-7750/2016 du 23 juin 2017</w:t>
      </w:r>
    </w:p>
    <w:p>
      <w:r>
        <w:t>IT: TAF A-7750/2016 del 23 giugno 2017</w:t>
      </w:r>
    </w:p>
    <w:p>
      <w:pPr>
        <w:pStyle w:val="Heading2"/>
      </w:pPr>
      <w:r>
        <w:t>Regeste</w:t>
      </w:r>
    </w:p>
    <w:p>
      <w:r>
        <w:t>Verfahrenskosten</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vorliegt. Beim angefochtenen Entscheid handelt es sich um eine Verfügung gemäss Art. 5 VwVG, die von einer eidgenössischen Kommission im Sinne von Art. 33 Bst. f VGG (vgl. Urteil des BVGer A-4692/2015 vom 19. April 2016 E. 1.1) erlassen wurde. Eine Ausnahme nach Art. 32 VGG liegt nicht vor. Das Bundesverwaltungsgericht ist daher für die Beurteilung der vorliegenden Beschwerde zuständig. Das Verfahren vor dem Bundesverwaltungsgericht richtet sich nach dem VwVG, soweit das VGG nichts anders vorsieht (Art. 37 VGG).</w:t>
      </w:r>
    </w:p>
    <w:p>
      <w:r>
        <w:rPr>
          <w:b/>
        </w:rPr>
        <w:t>E. 1.2</w:t>
      </w:r>
    </w:p>
    <w:p>
      <w:r>
        <w:t>Die Beschwerdeführerin hat sich am vorinstanzlichen Verfahren beteiligt und ist als Adressatin der angefochtenen Verfügung sowohl formell als auch materiell beschwert, weshalb sie zur Beschwerde legitimiert ist (vgl. Art. 48 Abs. 1 VwVG).</w:t>
      </w:r>
    </w:p>
    <w:p>
      <w:r>
        <w:rPr>
          <w:b/>
        </w:rPr>
        <w:t>E. 1.3</w:t>
      </w:r>
    </w:p>
    <w:p>
      <w:r>
        <w:t>Auf die frist- und formgerecht eingereichte Beschwerde (Art. 50 Abs. 1 VwVG und Art. 52 Abs. 1 VwVG) ist somit einzutreten.</w:t>
      </w:r>
    </w:p>
    <w:p>
      <w:r>
        <w:rPr>
          <w:b/>
        </w:rPr>
        <w:t>E. 2.1</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w:t>
      </w:r>
    </w:p>
    <w:p>
      <w:r>
        <w:rPr>
          <w:b/>
        </w:rPr>
        <w:t>E. 2.2</w:t>
      </w:r>
    </w:p>
    <w:p>
      <w:r>
        <w:t>Die in der Beschwerdeschrift enthaltenen Begehren legen mit der dazugehörigen Sachverhaltsdarstellung den Streitgegenstand des Beschwerdeverfahrens fest (Urteil des BGer 2C_446/2007 vom 22. Januar 2008 E. 2.2). In der angefochtenen Verfügung festgelegte, jedoch in der Beschwerde vom Beschwerdeführer nicht beanstandete Elemente dürfen von der Rechtsmittelbehörde grundsätzlich nicht überprüft werden (BGE 117 V 294 E. 2a). Die Beschwerdeführerin wendet sich einzig gegen die ihr auferlegten Verfahrenskosten. Hingegen beanstandet sie die in der angefochtenen Verfügung gemachten Feststellungen betreffend die Rechtmässigkeit der Briefkastenstandorte und die sich daraus für sie ergebenden Verpflichtungen nicht. Folglich wird nachfolgend nur geprüft, ob die Vorinstanz zu Recht die Gebühr von Fr. 200.-- der Beschwerdeführerin auferlegte.</w:t>
      </w:r>
    </w:p>
    <w:p>
      <w:r>
        <w:rPr>
          <w:b/>
        </w:rPr>
        <w:t>E. 3.1</w:t>
      </w:r>
    </w:p>
    <w:p>
      <w:r>
        <w:t>Öffentliche Abgaben sind Geldleistungen, welche die Privaten kraft öffentlichen Rechts dem Staat schulden. Dazu gehören unter anderem Gebühren, welche in Form von Verwaltungs-, Benutzungs- und Konzessionsgebühren anfallen können. Die Verwaltungsgebühr ist das Entgelt für eine bestimmte, von der abgabepflichtigen Person veranlasste Amtshandlung. Sie soll die Kosten, welche dem Gemeinwesen durch die Amtshandlung entstanden sind, ganz oder teilweise decken (vgl. Häfelin/Müller/Uhlmann, Allgemeines Verwaltungsrecht, 7. Aufl. 2016, Rz. 2623 ff.).</w:t>
      </w:r>
    </w:p>
    <w:p>
      <w:r>
        <w:rPr>
          <w:b/>
        </w:rPr>
        <w:t>E. 3.2</w:t>
      </w:r>
    </w:p>
    <w:p>
      <w:r>
        <w:t>Gebühren gehören zu den Kausalabgaben, bei welchen das Kostendeckungs-, das Legalitäts- sowie das Äquivalenzprinzip zu beachten sind. Das Kostendeckungsprinzip gilt nur für kostenabhängige Kausalabgaben, wo keine (genügend bestimmte) formell-gesetzliche Grundlage besteht (vgl. BGE 141 V 509 E. 7.1.2), weshalb diesem Prinzip im vorliegenden Verfahren keine praktische Bedeutung zukommt (vgl. unten E. 3.3). Aus dem verfassungsrechtlichen Legalitätsprinzip folgt, dass Gebühren in rechtssatzmässiger Form festgelegt sein müssen, so dass den rechtsanwenden Behörden kein übermässiger Spielraum verbleibt und die möglichen Abgabepflichten voraussehbar und rechtsgleich sind (BGE 132 II 47 E. 4.1). Schliesslich bestimmt das Äquivalenzprinzip, dass eine Gebühr nicht in einem offensichtlichen Missverhältnis zum objektiven Wert der Leistung stehen darf und sich in vernünftigen Grenzen halten muss. Aus Gründen der Verhältnismässigkeit bzw. Äquivalenz ist selbst eine gesetzes- oder reglementskonforme Gebühr dann herabzusetzen, wenn die an sich reguläre Anwendung des Tarifs im Ergebnis zu einer nicht mehr vertretbaren Abgabenhöhe führt (vgl. BGE 141 V 509 E. 7.1.2 m.w.H.).</w:t>
      </w:r>
    </w:p>
    <w:p>
      <w:r>
        <w:rPr>
          <w:b/>
        </w:rPr>
        <w:t>E. 3.3</w:t>
      </w:r>
    </w:p>
    <w:p>
      <w:r>
        <w:t>Gemäss dem Postgesetz vom 17. Dezember 2010 (PG, SR 783.0) ist die Vorinstanz Entscheidungsbehörde bei Streitigkeiten über den Zugang zu Postfachanlagen (Art. 22 Abs. 1 i.V.m. Abs. 2 Bst. c PG). Sie entscheidet in dieser Sache mittels Verfügung (Art. 74 i.V.m. Art. 76 der Postverordnung vom 29. August 2012 [VPG, SR 783.01]). Für diese erhebt sie kostendeckende Verwaltungsgebühren (Art. 30 Abs. 1 PG i.V.m. Art. 77 Abs. 1 Bst. b VPG). Gebühren von untergeordneter Bedeutung darf die Vorinstanz in einem Gebührenreglement selber regeln (Art. 30 Abs. 3 PG i.V.m. Art. 77 Abs. 3 VPG), was letztere mit dem Erlass des Gebührenreglements der Postkommission auch getan hat. Laut diesem Reglement beträgt die Gebühr für Verfügungen im Zusammenhang mit Streitigkeiten betreffend den Standort von Hausbriefkästen pauschal Fr. 200.-- (Art. 4 Abs. 1 Bst. g des Gebührenreglements der Postkommission). Im Übrigen gelten gemäss Art. 1 Abs. 2 des Gebührenreglements die Bestimmungen der Allgemeinen Gebührenverordnung vom 8. September 2004 (AllgGebV, SR 172.041.1). Gestützt auf diese Verordnung kann die Verwaltungseinheit die Gebühr wegen Bedürftigkeit der Person oder aus anderen wichtigen Gründen stunden, herabsetzen oder erlassen (Art. 13 AllgGebV).</w:t>
      </w:r>
    </w:p>
    <w:p>
      <w:r>
        <w:rPr>
          <w:b/>
        </w:rPr>
        <w:t>E. 3.4</w:t>
      </w:r>
    </w:p>
    <w:p>
      <w:r>
        <w:t>Eine gesetzliche Normierung des Unterliegerprinzips findet sich weder im Gebührenreglement noch in der allgemeinen Gebührenverordnung. Indes entspricht dieses Prinzip einem allgemeinen prozessualen Grundsatz, wonach die zu erhebende Verwaltungsgebühr in Verfahren, die wie vorliegend einem Klageverfahren gleichen, nach Massgabe des Obsiegens und Unterliegens auf die Parteien verlegt wird (vgl. dazu BGE 132 II 47 E. 3.3). Das Bundesverwaltungsgericht hat die Anwendung dieses Prinzips auch in Verfahren der vorliegenden Art explizit geschützt (vgl. Urteil des BVGer A-4692/2015 vom 19. April 2016 E. 5.1 m.w.H.). Eine Partei gilt als unterlegen, wenn ihren Begehren aus formellen oder materiellen Gründen nicht entsprochen wird. Verglichen werden dabei die anhand der Begründung ausgelegten Anträge der beschwerdeführenden bzw. wie vorliegend der gesuchstellenden Partei. Dabei ist auf das materiell wirklich Gewollte abzustellen (Urteil des BVGer A-5979/2010 vom 9. Juni 2011 E 4.3).</w:t>
      </w:r>
    </w:p>
    <w:p>
      <w:r>
        <w:rPr>
          <w:b/>
        </w:rPr>
        <w:t>E. 3.5</w:t>
      </w:r>
    </w:p>
    <w:p>
      <w:r>
        <w:t>Die Beschwerdeführerin hat im Wissen um dessen Kostenpflichtigkeit ein Verfahren zur Überprüfung der Rechtmässigkeit der Briefkastenstandorte angestrengt und sich somit als Gesuchstellerin im vorinstanzlichen Verfahren konstituiert. Deshalb durften ihr im Falle ihres vollumfänglichen Unterliegens auch die dafür gesetzlich vorgesehenen Verfahrenskosten von Fr. 200.-- auferlegt werden. Obwohl die Beschwerdeführerin eine sinngemässe Überprüfung aller Briefkastenstandorte verlangte, waren eigentlich nur jene an der (...)strasse 353, 353b und 353e umstritten. In ihrer Verfügung kam die Vorinstanz - wie schon zuvor die Post CH AG - zum Schluss, dass auch nur die Briefkästen an diesen Hausnummern umplatziert werden müssten, damit die Post CH AG weiterhin zur Hauszustellung der Postsendungen verpflichtet sei bzw. in Bezug auf die Hausnummer 353b verpflichtet wäre. Vor diesem Hintergrund hat die Beschwerdeführerin in Bezug auf die strittigen Briefkastenstandorte mit ihren Anträgen auf Nichtversetzung als vollumfänglich unterlegen zu gelten, weshalb ihr die Vorinstanz zu Recht die gesamten Verfahrenskosten auferlegte. Diese halten hinsichtlich ihrer Höhe angesichts des aktenkundigen Aufwands der Vorinstanz auch ohne weiteres vor dem Äquivalenzprinzip stand. Im Weiteren liegt kein Grund vor, welcher den Erlass dieser Verfahrenskosten rechtfertigen würde. Es ist der Beschwerdeführerin zwar zuzustimmen, dass sie insofern durch die Post CH AG in eine "Verteidigerrolle" gedrängt worden ist, als dass es ihr oblag, gegen den Entscheid der Post CH AG betreffend die drohende Einstellung der Hauszustellung vorzugehen. Die Verfahrensrolle als Gesuchstellerin ist jedoch gesetzlich so vorgesehen und kann daher von vornherein keinen Grund für den Erlass der Verfahrenskosten darstellen. Ebenso wenig kann die Beschwerdeführerin etwas für sich aus dem - aus ihrer Sicht unverhältnismässigen - Vorgehen der Post CH AG ableiten. Vielmehr hat die Vorinstanz die Beanstandungen der Post CH AG geschützt und somit auch implizit ein unverhältnismässiges Vorgehen verneint.</w:t>
      </w:r>
    </w:p>
    <w:p>
      <w:r>
        <w:rPr>
          <w:b/>
        </w:rPr>
        <w:t>E. 3.6</w:t>
      </w:r>
    </w:p>
    <w:p>
      <w:r>
        <w:t>Zusammenfassend hat die Vorinstanz zu Recht die Verfahrenskosten von Fr. 200.-- der Beschwerdeführerin auferlegt. Die Beschwerde wird folglich abgewiesen.</w:t>
      </w:r>
    </w:p>
    <w:p>
      <w:r>
        <w:rPr>
          <w:b/>
        </w:rPr>
        <w:t>E. 4</w:t>
      </w:r>
    </w:p>
    <w:p>
      <w:r>
        <w:t>Bei diesem Ausgang werden die Kosten für das Verfahren vor dem Bundesverwaltungsgericht in der Höhe von Fr. 800.-- gestützt auf Art. 63 Abs. 1 VwVG der Beschwerdeführerin auferlegt. Dieser Betrag wird mit dem geleisteten Kostenvorschuss in gleicher Höhe verrechnet.</w:t>
      </w:r>
    </w:p>
    <w:p>
      <w:r>
        <w:rPr>
          <w:b/>
        </w:rPr>
        <w:t>E. 5</w:t>
      </w:r>
    </w:p>
    <w:p>
      <w:r>
        <w:t>Die Beschwerdeführerin unterliegt im vorliegenden Fall vollumfänglich, weshalb ihr keine Parteientschädigung zugesprochen wird (Art. 64 Abs. 1 VwVG i.V.m. Art. 7 Abs. 1 des Reglements über die Kosten und Entschädigungen vor dem Bundesverwaltungsgericht vom 21. Februar 2008 [VGKE, SR. 173.320.2].). Ebenso wenig hat die obsiegende Vorinstanz einen An-spruch auf eine Parteientschädigung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