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A-769/2016 vom 1. März 2016</w:t>
      </w:r>
    </w:p>
    <w:p>
      <w:r>
        <w:t>Bundesverwaltungsgericht, 2016-03-01, DE</w:t>
      </w:r>
    </w:p>
    <w:p>
      <w:r>
        <w:rPr>
          <w:b/>
        </w:rPr>
        <w:t xml:space="preserve">Quelle: </w:t>
      </w:r>
      <w:r>
        <w:t>https://mcp.opencaselaw.ch/entscheid/bvger_A-769_2016</w:t>
      </w:r>
    </w:p>
    <w:p>
      <w:r>
        <w:t>FR: TAF A-769/2016 du 1 mars 2016</w:t>
      </w:r>
    </w:p>
    <w:p>
      <w:r>
        <w:t>IT: TAF A-769/2016 del 1 marzo 2016</w:t>
      </w:r>
    </w:p>
    <w:p>
      <w:pPr>
        <w:pStyle w:val="Heading2"/>
      </w:pPr>
      <w:r>
        <w:t>Regeste</w:t>
      </w:r>
    </w:p>
    <w:p>
      <w:r>
        <w:t>Verfahrenskosten</w:t>
      </w:r>
    </w:p>
    <w:p>
      <w:pPr>
        <w:pStyle w:val="Heading2"/>
      </w:pPr>
      <w:r>
        <w:t>Erwägungen</w:t>
      </w:r>
    </w:p>
    <w:p>
      <w:r>
        <w:rPr>
          <w:b/>
        </w:rPr>
        <w:t>E. 1</w:t>
      </w:r>
    </w:p>
    <w:p>
      <w:r>
        <w:t>Die Kosten des Verfahrens A-590/2014 werden auf Fr. 2'000.- festgesetzt. Sie werden dem Beschwerdeführer im Umfang von Fr. 1'500.- auferlegt. Dieser Betrag wird dem Kostenvorschuss von Fr. 2'000.- entnommen. Der Restbetrag von Fr. 500.- wird dem Beschwerdeführer nach Eintritt der Rechtskraft des vorliegenden Urteils zurückerstattet. Hierzu hat er dem Bundesverwaltungsgericht einen Einzahlungsschein zuzustellen oder seine Kontonummer bekannt zu geben.</w:t>
      </w:r>
    </w:p>
    <w:p>
      <w:r>
        <w:rPr>
          <w:b/>
        </w:rPr>
        <w:t>E. 2</w:t>
      </w:r>
    </w:p>
    <w:p>
      <w:r>
        <w:t>Dem Beschwerdeführer wird für das Verfahren A-590/2014 eine Parteientschädigung in der Höhe von Fr. 750.- (inkl. Auslagen und Mehrwertsteuer) zugesprochen. Diese ist ihm durch die Vorinstanz nach Eintritt der Rechtskraft des vorliegenden Urteils zu entrichten.</w:t>
      </w:r>
    </w:p>
    <w:p>
      <w:r>
        <w:rPr>
          <w:b/>
        </w:rPr>
        <w:t>E. 3</w:t>
      </w:r>
    </w:p>
    <w:p>
      <w:r>
        <w:t>Für das vorliegende Verfahren werden keine Verfahrenskosten erhoben und keine Parteientschädigungen zugesprochen.</w:t>
      </w:r>
    </w:p>
    <w:p>
      <w:r>
        <w:rPr>
          <w:b/>
        </w:rPr>
        <w:t>E. 4</w:t>
      </w:r>
    </w:p>
    <w:p>
      <w:r>
        <w:t>Dieses Urteil geht an: - den Beschwerdeführer (Gerichtsurkunde) - die Vorinstanz (Gerichtsurkunde) Für die Rechtsmittelbelehrung wird auf die nächste Seite verwiesen. Die vorsitzende Richterin: Der Gerichtsschreiber: Kathrin Dietrich Ivo Hartmann Rechtsmittelbelehrung: Gegen diesen Entscheid kann innert 30 Tagen nach Eröffnung beim Bundesgericht, 1000 Lausanne 14, Beschwerde in öffentlich-rechtlichen Angelegenheiten geführt werden (Art. 82 ff., 90 ff. und 100 BGG). Die Frist steht still vom siebenten Tag vor Ostern bis und mit dem siebenten Tag nach Ostern (Art. 46 Abs. 1 Bst. a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