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A-7675/2015 vom 21. Juni 2016</w:t>
      </w:r>
    </w:p>
    <w:p>
      <w:r>
        <w:t>Bundesverwaltungsgericht, 2016-06-21, DE</w:t>
      </w:r>
    </w:p>
    <w:p>
      <w:r>
        <w:rPr>
          <w:b/>
        </w:rPr>
        <w:t xml:space="preserve">Quelle: </w:t>
      </w:r>
      <w:r>
        <w:t>https://mcp.opencaselaw.ch/entscheid/bvger_A-7675_2015</w:t>
      </w:r>
    </w:p>
    <w:p>
      <w:r>
        <w:t>FR: TAF A-7675/2015 du 21 juin 2016</w:t>
      </w:r>
    </w:p>
    <w:p>
      <w:r>
        <w:t>IT: TAF A-7675/2015 del 21 giugno 2016</w:t>
      </w:r>
    </w:p>
    <w:p>
      <w:pPr>
        <w:pStyle w:val="Heading2"/>
      </w:pPr>
      <w:r>
        <w:t>Regeste</w:t>
      </w:r>
    </w:p>
    <w:p>
      <w:r>
        <w:t>Datenschutz</w:t>
      </w:r>
    </w:p>
    <w:p>
      <w:pPr>
        <w:pStyle w:val="Heading2"/>
      </w:pPr>
      <w:r>
        <w:t>Erwägungen</w:t>
      </w:r>
    </w:p>
    <w:p>
      <w:r>
        <w:rPr>
          <w:b/>
        </w:rPr>
        <w:t>E. 1</w:t>
      </w:r>
    </w:p>
    <w:p>
      <w:r>
        <w:t>Das Bundesverwaltungsgericht prüft von Amtes wegen und mit freier Kognition, ob die Prozessvoraussetzungen vorliegen und auf eine Beschwerde einzutreten ist (vgl. Art. 7 Abs. 1 des Verwaltungsverfahrensgesetzes vom 20. Dezember 1968 [VwVG, SR 172.021], Urteile des Bundesverwaltungsgerichts [BVGer] A 3287/2015 vom 2. Juli 2015 E. 1 und A 769/2013 vom 30. Oktober 2013 E. 1). Gemäss Art. 31 des Verwaltungsgerichtsgesetzes vom 17. Juni 2005 (VGG, SR 173.32) beurteilt es Beschwerden gegen Verfügungen nach Art. 5 VwVG, sofern keine Ausnahme nach Art. 32 VGG gegeben ist und eine Vorinstanz im Sinne von Art. 33 VGG entschieden hat. Da keine Ausnahme nach Art. 32 VGG vorliegt, mit dem SEM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mit der angefochtenen Verfügung wurde sein Antrag um Änderung seines Nachnamens abgewiesen. Der Beschwerdeführer hat ein schutzwürdiges Interesse an der Richtigkeit seiner im ZEMIS eingetragenen Personendaten und ist deshalb ohne Weiteres zur Beschwerde legitimiert.</w:t>
      </w:r>
    </w:p>
    <w:p>
      <w:r>
        <w:rPr>
          <w:b/>
        </w:rPr>
        <w:t>E. 3.1</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(BGE 136 II 457 E. 4.2, Urteile des BGer 2C_1055/2013 und 2C_1056/2013 vom 30. August 2014 E. 2.1; BVGE 2010/12 E. 1.2.1; Urteil des BVGer A 3287/2015 vom 2. Juli 2015 E. 2.3.1; Christoph Auer, Streitgegenstand und Rügeprinzip im Spannungsfeld der verwaltungsrechtlichen Prozessmaximen, 1997, S. 35, 63 Rz. 403 f.; Kölz/ Häner/ Bertschi, Verwaltungsverfahren und Verwaltungsrechtspflege des Bundes, 2. Auflage 2013, Rz. 686 ff.). Geht die mit dem Rechtsbegehren aufgestellte Rechtsfolgebehauptung über den Streitgegenstand hinaus, ist darauf nicht einzutreten (vgl. Urteile des BGer 4A_89/2012 vom 17. Juli 2012 E. 1.2 und 2D.20/2010 vom 20. Mai 2010 E. 1.3; Urteil des BVGer A 3274/2012 vom 25. März 2013 E. 1.4.1).</w:t>
      </w:r>
    </w:p>
    <w:p>
      <w:r>
        <w:rPr>
          <w:b/>
        </w:rPr>
        <w:t>E. 3.2</w:t>
      </w:r>
    </w:p>
    <w:p>
      <w:r>
        <w:t>Anfechtungsgegenstand ist die Verfügung der Vorinstanz vom 23. Oktober 2015. Streitgegenstand kann demnach nur sein, was in dieser Verfügung geregelt wurde. Diese weist unter Bezugnahme auf das Gesuch vom 17. Januar 2014 das Begehren des Beschwerdeführers um Änderung seines Nachnamens im ZEMIS von "A._______" zu "X._______" ab. Vorliegend beantragt der Beschwerdeführer, der aktuell für seine Kinder im ZEMIS geführte Nachname "X._______" sei durch "A._______" zu ersetzen. Damit nimmt der Beschwerdeführer nicht auf die in der angefochtenen Verfügung verweigerte Anpassung seiner Personalien Bezug, sondern stellt einen neuen Antrag. Statt der Änderung seines Nachnamens möchte er nun eine solche bezüglich der Nachnamen seiner Kinder erwirken. Da dieses Anliegen nicht Gegenstand der angefochtenen Verfügung bildet und Beschwerdebegehren, welche neue Fragen aufwerfen, den möglichen Streitgegenstand überschreiten, kann darüber nicht befunden werden.</w:t>
      </w:r>
    </w:p>
    <w:p>
      <w:r>
        <w:rPr>
          <w:b/>
        </w:rPr>
        <w:t>E. 3.3</w:t>
      </w:r>
    </w:p>
    <w:p>
      <w:r>
        <w:t>Nach dem Gesagten ist auf die Beschwerde nicht einzutreten. Es ist an der Vorinstanz, das neu gestellte Begehren zu prüfen. Die Sache ist hierfür zuständigkeitshalber an die Vorinstanz zu überweisen (vgl. Art. 8 Abs. 1 VwVG).</w:t>
      </w:r>
    </w:p>
    <w:p>
      <w:r>
        <w:rPr>
          <w:b/>
        </w:rPr>
        <w:t>E. 4.1</w:t>
      </w:r>
    </w:p>
    <w:p>
      <w:r>
        <w:t>Die Kosten des Verfahrens vor dem Bundesverwaltungsgericht werden in der Regel der unterliegenden Partei auferlegt (Art. 63 Abs. 1 VwVG). Dem unterliegenden Beschwerdeführer wurde indes vom zuständigen Instruktionsrichter mit Zwischenverfügung vom 5. Februar 2016 die unentgeltliche Prozessführung bewilligt, weshalb er keine Verfahrenskosten zu tragen hat (Art. 65 Abs. 1 VwVG). Die Vorinstanz trägt als Bundesbehörde keine Verfahrenskosten (Art. 63 Abs. 2 VwVG).</w:t>
      </w:r>
    </w:p>
    <w:p>
      <w:r>
        <w:rPr>
          <w:b/>
        </w:rPr>
        <w:t>E. 4.2</w:t>
      </w:r>
    </w:p>
    <w:p>
      <w:r>
        <w:t>Der unterliegende Beschwerdeführer hat keinen Anspruch auf Parteientschädigung (Art. 64 Abs. 1 VwVG und Art. 7 Abs. 1 des Reglements vom 21. Februar 2008 über die Kosten und Entschädigungen vor dem Bundesverwaltungsgericht [VGKE, SR 173.320.2] e contrario). Als Bundesbehörde hat auch die Vorinstanz keinen solchen Anspruch (Art. 7 Abs. 3 VGKE).</w:t>
      </w:r>
    </w:p>
    <w:p>
      <w:r>
        <w:rPr>
          <w:b/>
        </w:rPr>
        <w:t>E. 4.3</w:t>
      </w:r>
    </w:p>
    <w:p>
      <w:r>
        <w:t>Mit Zwischenverfügung vom 5. Februar 2016 wurde dem Beschwerdeführer die unentgeltliche Rechtsverbeiständung gewährt. Seinem Rechtsvertreter ist daher aus der Gerichtskasse eine Entschädigung aus unentgeltlicher Rechtspflege auszurichten (vgl. Urteile des BVGer A 6903/2015 vom 25. April 2016 E. 10, A 5172/2014 vom 8. Januar 2016 E. 14.2, A 3403/2013 vom 17. November 2014 E. 5.3). Da der Rechtsvertreter des Beschwerdeführers keine Kostennote eingereicht hat, ist die Entschädigung aufgrund der Akten festzusetzen (vgl. - allerdings in Bezug auf die Parteientschädigung - Art. 14 Abs. 2 VGKE). Wie aus Art. 12 in Verbindung mit Art. 8 Abs. 2 und Art. 10 Abs. 1 VGKE hervorgeht, hat die Entschädigung für die unentgeltliche Verbeiständung (ebenso wie eine Parteientschädigung) nicht jeden erdenklichen, sondern nur den notwendigen Aufwand zu ersetzen (vgl. Urteil des BVGer A 6903/2015 vom 25. April 2016 E. 10). Es rechtfertigt sich, die dem unentgeltlichen Rechtsbeistand auszurichtende Entschädigung vorliegend ermessensweise sowie in Anlehnung an die Praxis zur Parteientschädigung auf Fr. 500.- (inkl. Mehrwertsteuerzuschlag im Sinne von Art. 9 Abs. 1 Bst. c in Verbindung mit Art. 12 VGKE) festzusetzen. Der Beschwerdeführer wird im Übrigen darauf hingewiesen, dass er nach Art. 65 Abs. 4 VwVG, sollte er als bedürftige Partei später zu hinreichenden Mitteln gelangen, der Gerichtskasse für die erwähnte Entschädigung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