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A-7643/2010 vom 31. Januar 2012</w:t>
      </w:r>
    </w:p>
    <w:p>
      <w:r>
        <w:t>Bundesverwaltungsgericht, 2012-01-31, DE</w:t>
      </w:r>
    </w:p>
    <w:p>
      <w:r>
        <w:rPr>
          <w:b/>
        </w:rPr>
        <w:t xml:space="preserve">Quelle: </w:t>
      </w:r>
      <w:r>
        <w:t>https://mcp.opencaselaw.ch/entscheid/bvger_A-7643_2010</w:t>
      </w:r>
    </w:p>
    <w:p>
      <w:r>
        <w:t>FR: TAF A-7643/2010 du 31 janvier 2012</w:t>
      </w:r>
    </w:p>
    <w:p>
      <w:r>
        <w:t>IT: TAF A-7643/2010 del 31 gennaio 2012</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VwVG gegeben ist. Eine solche liegt nicht vor und die ESTV ist eine Behörde im Sinne von Art. 33 VGG. Das Bundeverwaltungsgericht ist dehalb für die Beurteilung der vorliegenden Beschwerde zuständig. Das Verfahren vor Bundesverwaltungsgericht richtet sich nach dem VwVG, soweit das VGG nichts anderes bestimmt (Art. 2 Abs. 4 VwVG; Art. 37 VGG).</w:t>
      </w:r>
    </w:p>
    <w:p>
      <w:r>
        <w:rPr>
          <w:b/>
        </w:rPr>
        <w:t>E. 1.2</w:t>
      </w:r>
    </w:p>
    <w:p>
      <w:r>
        <w:t>Gemäss Art. 48 Abs. 1 Bst. a-c VwVG ist zur Beschwerde legitimiert, wer am Verfahren vor der Vorinstanz teilgenommen oder keine Möglichkeit zur Teilnahme erhalten hat, durch die angefochtene Verfügung besonders berührt ist und ein schutzwürdiges Interesse an deren Aufhebung oder Änderung hat. Die Voraussetzungen müssen kumulativ gegeben sein und im Zeitpunkt des Urteils vorliegen (vgl. André Moser/Michael Beusch/Lorenz Kneubühler, Prozessieren vor dem Bundesverwaltungsgericht, Basel 2008, Rz. 2.60). Die Frage der Legitimation ist von den Beschwerdegründen zu trennen und beurteilt sich ausschliesslich nach Art. 48 VwVG; sie ist rein prozessualer Natur (BGE 123 II 381 E. 4c; Moser/Beusch/Kneubühler, a.a.O., Rz. 2.70). Fehlt das Rechtsschutzbedürfnis, ist auf das Ansuchen nicht einzutreten; fällt das Rechtsschutzinteresse im Verlaufe des Verfahrens dahin, so wird die Sache aus diesem Grund gegenstandslos und das Verfahren ist als gegenstandslos geworden abzuschreiben (BVGE 2007/12 E. 2.1; Moser/Beusch/Kneubühler, a.a.O., Rz. 2.70 mit Hinweisen). Ein schutzwürdiges Interesse im Sinne von Art. 48 Abs. 1 Bst. c VwVG setzt u.a. ein praktisches Interesse in dem Sinne voraus, dass der mit der Verfügung erlittene mutmassliche Nachteil von der Rechtsmittelinstanz beseitigt werden kann (Urteil des Bundesverwaltungsgerichts A-1247/2010 vom 19. April 2010 E. 6.1 mit Hinweisen). Hat die Beschwerdeführerin mit der angefochtenen Verfügung bereits erhalten, wonach sie verlangt, liegt sachlogisch kein Nachteil vor und kann - ebenso sachlogisch - von der Rechtsmittelinstanz kein solcher beseitigt werden (vgl. Urteil des Bundesverwaltungsgerichts A-980/2011 vom 23. Juni 2011 E. 3.1).</w:t>
      </w:r>
    </w:p>
    <w:p>
      <w:r>
        <w:rPr>
          <w:b/>
        </w:rPr>
        <w:t>E. 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Für Sachverhalte, die sich vor dem 1. Januar 2010, aber nach dem Inkrafttreten des Bundesgesetzes vom 2. September 1999 über die Mehrwertsteuer (aMWSTG, AS 2000 1300) am 1. Januar 2001 zugetragen haben, bleibt deshalb das aMWSTG sowie die zugehörigen Verordnung vom 29. März 2000 (aMWSTGV, AS 2000 1347) anwendbar. Für die Zeit vor dem 1. Januar 2001 kommt noch die aMWSTV zur Anwendung (Art. 93 Abs. 1 und Art. 94 Abs. 1 aMWSTG). Auf den vorliegenden Sachverhalt, der die Steuerperioden vom 1. Quartal 1995 bis 2. Quartal 1999 betrifft, ist somit grundsätzlich noch die aMWSTV anwendbar. Demgegenüber ist das neue mehrwertsteuerliche Verfahrensrecht im Sinne von Art. 113 Abs. 3 MWSTG auf sämtliche im Zeitpunkt des Inkrafttretens hängige Verfahren anwendbar. Allerdings ist Art. 113 Abs. 3 MWSTG insofern restriktiv zu verstehen,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3.1</w:t>
      </w:r>
    </w:p>
    <w:p>
      <w:r>
        <w:t>Ein mit verbindlichen Weisungen versehener Rückweisungsentscheid (vgl. Art. 61 Abs. 1 VwVG) schliesst das Verfahren bezüglich der in den Erwägungen definitiv behandelten Punkte ab.</w:t>
      </w:r>
    </w:p>
    <w:p>
      <w:r>
        <w:rPr>
          <w:b/>
        </w:rPr>
        <w:t>E. 3.2</w:t>
      </w:r>
    </w:p>
    <w:p>
      <w:r>
        <w:t>Materielle Rechtskraft bedeutet Verbindlichkeit eines (formell rechtskräftigen) Entscheids für spätere Verfahren. Sie bezieht sich grundsätzlich nur auf das Dispositiv und nicht auf die rechtliche Begründung und die tatsächlichen Feststellungen (BGE 121 III 474 E. 2, 4a). Die rechtliche Bindungswirkung gilt für die Parteien und Beigeladene des rechtskräftig erledigten Verfahrens sowie deren Rechtsnachfolger (Fritz Gygi, Bundesverwaltungsrechtspflege, 2. Aufl., Bern 1983, S. 323; Madeleine Camprubi, in Auer/Müller/Schindler [Hrsg.], Kommentar zum Bundesgesetz über das Verwaltungsverfahren [nachfolgend: Praxiskommentar], Zürich/St. Gallen 2008, N. 24 zu Art. 61). Verweist das Dispositiv eines Rückweisungsentscheids ausdrücklich auf die Erwägungen, werden diese zu dessen Bestandteil und haben, soweit sie zum Streitgegenstand gehören, an der formellen Rechtskraft teil (BGE 120 V 233 E. 1a, 113 V 159 E. 1c, Urteil des Bundesgerichts 8C_272/2011 vom 11. November 2011 E. 1.3 [zur Publikation vorgesehen]). Die Behörde, an die zurückgewiesen wird, die Partei und auch das mit der Sache nochmals befasste Gericht selbst sind an die Erwägungen im Rückweisungsentscheid gebunden. Die rechtliche Beurteilung, mit der die Zurückweisung begründet wird, muss der neuen Entscheidung zugrunde gelegt werden (BGE 135 III 334 E. 2, 122 I 250 E. 2; Urteil des Bundesgerichts 4C_46/2007 vom 17. April 2007 E. 3.1 mit Hinweisen; Moser/Beusch/Kneubühler, a.a.O., Rz. 3.196; Philippe Weissenberger, Praxiskommentar, N. 28 zu Art. 61). Eine freie Überprüfung durch das ein zweites Mal angerufene Gericht ist nur noch möglich betreffend jene Punkte, die im Rückweisungsentscheid nicht entschieden wurden oder bei Vorliegen neuer Sachumstände (Urteile des Bundesverwaltungsgerichts A-7745/2010 vom 9. Juni 2011 E. 1.2.2, A-5261/2008 vom 29. März 2010 E. 3.3, A-1513/2006 vom 24. April 2009 E. 2.3).</w:t>
      </w:r>
    </w:p>
    <w:p>
      <w:r>
        <w:rPr>
          <w:b/>
        </w:rPr>
        <w:t>E. 3.3</w:t>
      </w:r>
    </w:p>
    <w:p>
      <w:r>
        <w:t>Zum Umfang der Rechtskraft ist festzuhalten, dass zwar grundsätzlich nur das Dispositiv, nicht aber die Begründung eines Entscheides anfechtbar ist; rechtsprechungsgemäss nehmen aber die Erwägungen in einem (Rückweisungs)entscheid, auf welche in dessen Dispositiv ausdrücklich verwiesen wird, bei Nichtanfechtung an der formellen Rechtskraft des Entscheids teil und sind (für die Behörde, an die zurückgewiesen wird) verbindlich (Urteile des Bundesgerichts 8C_272/2011 vom 11. November 2011 E. 1.3 mit Hinweisen [zur Publikation vorgesehen]; Urteil des Bundesverwaltungsgerichts C-903/2007 vom 3. November 2010 E. 5.3.1).</w:t>
      </w:r>
    </w:p>
    <w:p>
      <w:r>
        <w:rPr>
          <w:b/>
        </w:rPr>
        <w:t>E. 4.1</w:t>
      </w:r>
    </w:p>
    <w:p>
      <w:r>
        <w:t>Im vorliegenden Fall hiess das Bundesverwaltungsgericht mit Urteil A-46/2007 vom 10. November 2009 die gegen den Einspracheentscheid vom 15. November 2006 erhobene Beschwerde teilweise gut, unter Rückweisung der Sache an die Vorinstanz zur Abklärung der Frage, ob die Zahlungen der EU-Kommission als steuerbares Entgelt betrachtet werden könnten. Im Übrigen wies es die Beschwerde jedoch ab (E. 6). In Bezug auf den abgewiesenen Teil der Beschwerde erwog es u.a., die Führung des Sekretariats F._______/G._______ beruhe auf einem mehrwertsteuerlichen Leistungsaustausch und die Zahlungen des Bundes seien steuerbares Entgelt (E. 4.5). Diesbezüglich, d.h. in Bezug auf die Zahlungen des Bundes an die Beschwerdeführerin, liegt nach Auffassung des Bundesverwaltungsgerichts ein verbindlicher Teilentscheid des Bundesverwaltungsgerichts vor, sodass es der Vorinstanz verwehrt war, im Rahmen der Rückweisung der Sache auf diesen Teilaspekt zurück zu kommen. Dasselbe gilt für das vorliegende Verfahren: Auch für das Bundesverwaltungsgericht ist der Entscheid vom 10. November 2009 verbindlich, und über das dort Entschiedene darf nicht noch einmal entschieden werden. Auf die Beschwerde vom 27. Oktober 2011 ist deshalb, soweit es um die Zahlungen des Bundes an die Beschwerdeführerin geht, nicht einzutreten (vgl. E. 3.3 sowie E. 3.4 jeweils am Ende).</w:t>
      </w:r>
    </w:p>
    <w:p>
      <w:r>
        <w:rPr>
          <w:b/>
        </w:rPr>
        <w:t>E. 4.2</w:t>
      </w:r>
    </w:p>
    <w:p>
      <w:r>
        <w:t>Streitgegenstand bezüglich des Einspracheentscheids der ESTV vom 24. September 2010 bzw. des vorliegenden Verfahrens können damit nur noch die von der Rückweisung an die Vorinstanz betroffenen Leistungen sein. Das Bundesverwaltungsgericht erwog in seinem Urteil vom 10. November 2009 in Bezug auf die von der Rückweisung an die Vorinstanz betroffenen Umsätze, aufgrund der Aktenlage könne nicht beantwortet werden, ob die von der EU geleisteten Beiträge Entgelt bildeten für Leistungen, welche die X._______ gestützt auf die Verträge mit dem Bund erbringe. Die ESTV habe deshalb abzuklären, ob die Zahlungen der EU-Kommission als steuerbares Entgelt betrachtet werden könnten. Sie habe ebenfalls abzuklären, ob und bejahendenfalls in welchem Umfang in der Aufrechnung eines Umsatzes von Fr. ... effektiv auch Zahlungen enthalten seien, die nicht vom Bund sondern von der EU geleistet worden seien (vgl. Sachverhalt Bst. C). In ihrem Einspracheentscheid vom 24. September 2010 hiess die ESTV die Einsprache sinngemäss im Umfang der vom Bundesverwaltungsgericht angeordneten Rückweisung gut, setzte den mit EA Nr. (...) vom 8. Dezember 1999 nachbelasteten Umsatz um Fr. ... herab und schrieb der X._______ die darauf entfallende Steuer im Betrag von Fr. ... gut. Sie erwog, es sei mit der X._______ davon auszugehen, dass der mit EA Nr. (...) vom 8. Dezember 1999 besteuerte Umsatz von Fr. ... Zahlungen der EU im Betrag von Fr. ... umfasste, denen ein Leistungsaustausch zwischen der X._______ und der EU-Kommission zugrunde liege (vgl. Sachverhalt Bst. E). Die Beschwerdeführerin bestreitet die von der Vorinstanz festgesetzten Beträge von Fr. ... (Umsatz) bzw. Fr. ... (Mehrwertsteuer) nicht. Da die Vorinstanz im Rahmen der Rückweisung die Einsprache vollumfänglich guthiess, fehlt es der Beschwerdeführerin an einer Beschwer und damit an einem aktuellen Rechtsschutzinteresse (vgl. E. 1.2). Auf die Beschwerde der Beschwerdeführerin ist deshalb auch in Bezug auf den von der Rückweisung an die Vorinstanz betroffenen Teil nicht einzutreten.</w:t>
      </w:r>
    </w:p>
    <w:p>
      <w:r>
        <w:rPr>
          <w:b/>
        </w:rPr>
        <w:t>E. 4.3</w:t>
      </w:r>
    </w:p>
    <w:p>
      <w:r>
        <w:t>Demzufolge ist auf die Beschwerde insgesamt nicht einzutreten.</w:t>
      </w:r>
    </w:p>
    <w:p>
      <w:r>
        <w:rPr>
          <w:b/>
        </w:rPr>
        <w:t>E. 5</w:t>
      </w:r>
    </w:p>
    <w:p>
      <w:r>
        <w:t>Die Kosten für das vorliegende Verfahrens werden auf Fr. ... festgesetzt (Art. 63 VwVG in Verbindung mit Art. 1 ff. des Reglements vom 21. Februar 2008 über die Kosten und Entschädigungen vor dem Bundesverwaltungsgericht [VGKE, SR 173.320.2]). Im Falle eines Nichteintretens auf ein Rechtsmittel werden die Verfahrenskosten der im Prozessurteil unterliegenden beschwerdeführenden Partei auferlegt und es wird von der Zusprechung einer Parteientschädigung abgesehen (Urteile des Bundesverwaltungsgerichts A-6729/2010 vom 5. April 2011 E. 4.1 mit Hinweisen und A-980/2011 vom 23. Juni 2011 E. 4). Demnach werden die Verfahrenskosten von Fr. ... der Beschwerdeführerin auferlegt und im entsprechenden Umfang mit dem Kostenvorschuss im Betrag von Fr. ... verrechnet. Der Überschuss ist der Beschwerdeführerin nach Eintritt der Rechtskraft des vorliegenden Urteils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