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A-7587/2014 vom 13. April 2015</w:t>
      </w:r>
    </w:p>
    <w:p>
      <w:r>
        <w:t>Bundesverwaltungsgericht, 2015-04-13, DE</w:t>
      </w:r>
    </w:p>
    <w:p>
      <w:r>
        <w:rPr>
          <w:b/>
        </w:rPr>
        <w:t xml:space="preserve">Quelle: </w:t>
      </w:r>
      <w:r>
        <w:t>https://mcp.opencaselaw.ch/entscheid/bvger_A-7587_2014</w:t>
      </w:r>
    </w:p>
    <w:p>
      <w:r>
        <w:t>FR: TAF A-7587/2014 du 13 avril 2015</w:t>
      </w:r>
    </w:p>
    <w:p>
      <w:r>
        <w:t>IT: TAF A-7587/2014 del 13 aprile 2015</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des ESTI zuständig (Art. 23 des Elektrizitätsgesetzes vom 24. Juni 1902 [EleG, SR 734.0] und Art. 31 ff. des Verwaltungsgerichtsgesetzes vom 17. Juni 2005 [VGG, SR 173.32]).</w:t>
      </w:r>
    </w:p>
    <w:p>
      <w:r>
        <w:rPr>
          <w:b/>
        </w:rPr>
        <w:t>E. 1.2</w:t>
      </w:r>
    </w:p>
    <w:p>
      <w:r>
        <w:t>Die Beschwerdeführerin ist Adressatin der angefochtenen Verfügung und durch diese auch materiell beschwert. Sie ist damit nach Art. 48 Abs. 1 des Verwaltungsverfahrensgesetzes vom 20. Dezember 1968 (VwVG, SR 172.021) zur Beschwerde berechtigt.</w:t>
      </w:r>
    </w:p>
    <w:p>
      <w:r>
        <w:rPr>
          <w:b/>
        </w:rPr>
        <w:t>E. 1.3</w:t>
      </w:r>
    </w:p>
    <w:p>
      <w:r>
        <w:t>Auf die im Übrigen frist- und formgerecht eingereichte Beschwerde (Art. 50 Abs. 1 und Art. 52 Abs.1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 3.1 Gemäss Art. 20 Abs. 1 EleG ist der Betriebsinhaber (Eigentümer, Pächter usw.) für die Beaufsichtigung der elektrischen Anlagen und die Überwachung ihres guten Zustandes verantwortlich. Der Eigentümer oder der von ihm bezeichnete Vertreter muss auf Verlangen den entsprechenden Sicherheitsnachweis erbringen (Art. 5 Abs. 1 der Verordnung vom 7. November 2001 über elektrische Niederspannungsinstallationen [NIV, SR 734.27]).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1 und 3 NIV). Die Vorinstanz ist gemäss Art. 41 NIV berechtigt, für die Kontrolltätigkeit und für Verfügungen nach dieser Verordnung Gebühren zu erheben (statt vieler Urteil des Bundesverwaltungsgerichts A 3145/2013 vom 18. September 2013 E. 4.1). 3.2 Die formellen Voraussetzungen für die Übergabe der Angelegenheit an die Vorinstanz (Aufforderung und zweimalige Mahnung) sind im vorliegenden Fall erfüllt. Die Beschwerdeführerin stellt die Verpflichtung, als Eigentümerin einer Liegenschaft einen Sicherheitsnachweis erbringen zu müssen, nicht grundsätzlich in Frage. Sie macht jedoch geltend, sie hätte zu Recht und in guten Treuen davon ausgehen dürfen, dass der von ihr beauftragte Elektriker die Fertigstellungsanzeige an das unabhängige Kontrollorgan gesendet habe, weil die Rückmeldung als Position auf der Rechnung ausgewiesen gewesen sei. Zudem sei für das Objekt Shop/EG Nord, welches durch den beauftragten Elektriker komplett vom Niederspannungsverteilnetz der Netzbetreiberin getrennt worden sei, kein Sicherheitsnachweis mehr erforderlich. 3.3 Seiner Verantwortung als Grundeigentümer kann sich der Beschwerdeführer jedoch nicht mit Verweis auf ein Fehlverhalten des mit der Mängelbehebung beauftragten Elektrounternehmens bzw. des mit der Ausstellung des Sicherheitsnachweises beauftragten Kontrollorgans entziehen (vgl. die Urteile des Bundesverwaltungsgerichts A-2825/2014 vom 16. Oktober 2014 E. 4.2, A-3145/2013 vom 18. September 2013 E. 4.2, A-2022/2006 vom 1. Februar 2007 E. 4.1). Ein solches könnte allenfalls zivilrechtliche Ansprüche des Beschwerdeführers begründen, seine öffentlich-rechtliche Verpflichtung, den Sicherheitsnachweis fristgerecht zu erbringen, bleibt davon indes unberührt (vgl. die Urteile des Bundesverwaltungsgerichts A 6259/2012 vom 22. April 2013 E. 3.3, A-3258/2012 vom 6. November 2012 E. 2.3). Folglich ist das diesbezügliche Vorbringen der Beschwerdeführerin, ebenso wie der Hinweis auf ihre blossen Laienkenntnisse im Bereich der elektrischen Niederspannungsinstallationen, unbeachtlich. 3.4 3.4.1 Für die Frage, ob die Beschwerdeführerin einen Sicherheitsnachweis einzureichen hat, ist entscheidend, ob die zuständige Netzbetreiberin, welche den Endverbraucher mit Strom aus dem Elektrizitätsverteilnetz beliefert (Art. 2 Abs. 3 NIV), die fragliche Liegenschaft vom Netz abgehängt hat. Nur wenn die Liegenschaft bzw. die Gesamtheit der elektrischen Installationen nicht mehr mit Strom versorgt wird, ist sichergestellt, dass keine Hausinstallationen mehr unter elektrischer Spannung stehen und nur für diesen Fall muss kein Sicherheitsnachweis für die Liegenschaft mehr erbracht werden. Denn nur dann erübrigt sich der Nachweis, dass die Hausinstallationen den grundlegenden Anforderungen an die Sicherheit und zur Vermeidung von Störungen (Art. 3 und 4 NIV) genügen. Entscheidend ist somit, ob die Liegenschaft durch die Netzbetreiberin von der Stromzufuhr abgetrennt wurde. Die hausinterne "Stromkappung" genügt nicht, um von der Pflicht, den Sicherheitsnachweis einzureichen (Art. 5 NIV), entbunden zu werden (vgl. Urteile des Bundesverwaltungsgerichts A-1724/2012 vom 20. September 2012 E. 4.2 und A-3527/2007 vom 20. September 2007 E. 6.1). 3.4.2 Im vorliegenden Fall ergibt sich aus einer E-Mail der Netzbetreiberin vom 26. Februar 2015 an die Vorinstanz, dass der Shop im EG nicht vollständig vom Netz der Netzbetreiberin getrennt wurde. Die C._______ AG habe im Februar 2014 hinter dem Zählerstromkreis die notwendigen Arbeiten durchgeführt und das Provisorium für den Umbau montiert. Diese Arbeiten seien abgeschlossen. In der Zwischenzeit seien im Shop Installationen angepasst worden, für welche ein Sicherheitsnachweis vorliege. Weitere Installationen würden zudem folgen. Der Inhalt der E-Mail, die der Beschwerdeführerin mit Verfügung vom 25. März 2015 zugestellt worden ist, wird von dieser im Übrigen nicht weiter bestritten. 3.4.3 Damit ist erstellt, dass der Shop entgegen den Vorbringen der Beschwerdeführerin zum Zeitpunkt der Aufforderung zur Einreichung eines Sicherheitsnachweises nicht vollständig vom Netz getrennt war. Die Beschwerdeführerin wäre folglich verpflichtet gewesen, einen Sicherheitsnachweis zu erbringen, weil nur die vollständige Trennung vom Netz der Netzbetreiberin, nicht jedoch die hausinterne Stromkappung, von dieser Pflicht entbindet. Die Vorinstanz hat die angedrohte Verfügung vom 14. November 2014 somit grundsätzlich zu Recht erlassen. 3.5 3.5.1 Soweit die Beschwerdeführerin überdies die ihr auferlegte Gebühr von Fr. 600.-- rügen sollte, ist auch diese dem Grundsatz nach nicht zu beanstanden. Zu prüfen bleibt deren Höhe. Betreffend die Höhe der Gebühr verweist Art. 41 NIV auf Art. 9 und 10 der Verordnung vom 7. Dezember 1992 über das Eidgenössische Starkstrominspektorat (Vo ESTI, SR 734.24). Danach betragen die Gebühren für den Erlass einer Verfügung höchstens Fr. 3'000.-- und sind nach dem tatsächlich entstandenen Aufwand zu bemessen (Art. 9 Abs. 1 Vo ESTI). Innerhalb des von der Vo ESTI vorgegebenen Gebührenrahmens kommt der Vorinstanz ein erheblicher Ermessensspielraum zu (vgl. statt vieler Urteile des Bundesverwaltungsgerichts A-3145/2013 vom 18. September 2013 E. 4.3, A-735/2013 vom 23. Mai 2013 E. 4 und A 6259/2012 vom 22. April 2013 E. 3.4). 3.5.2 Die der Beschwerdeführerin auferlegte Gebühr von Fr. 600.-- bewegt sich im unteren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zu erlassen. In Anbetracht dieses Aufwands erscheint eine Gebühr von Fr. 600.-- für den Erlass der angefochtenen Verfügung als angemessen. Die Gebühr ist somit auch der Höhe nach nicht zu beanstanden (vgl. auch die ähnlichen Fälle in den Urteilen des Bundesverwaltungsgerichts A-3145/2013 vom 18. September 2013 E. 4.3, A-735/2013 vom 23. Mai 2013 E. 4 und A-6259/2012 vom 22. April 2013 E. 3.4).</w:t>
      </w:r>
    </w:p>
    <w:p>
      <w:r>
        <w:rPr>
          <w:b/>
        </w:rPr>
        <w:t>E. 4</w:t>
      </w:r>
    </w:p>
    <w:p>
      <w:r>
        <w:t>Bei diesem Ergebnis ist die Beschwerde abzuweisen. Die der Beschwerdeführerin mit Verfügung vom 14. November 2014 angesetzte Frist zur Einreichung des Sicherheitsnachweises ist inzwischen verstrichen. Der Beschwerdeführerin ist deshalb eine neue Frist von zwei Monaten ab Rechtskraft des vorliegenden Urteils anzusetzen, um den geforderten Sicherheitsnachweis der Netzbetreiberin zuzustellen.</w:t>
      </w:r>
    </w:p>
    <w:p>
      <w:r>
        <w:rPr>
          <w:b/>
        </w:rPr>
        <w:t>E. 5.1</w:t>
      </w:r>
    </w:p>
    <w:p>
      <w:r>
        <w:t>Bei diesem Ausgang des Verfahrens gilt die Beschwerdeführerin als unterliegend, weshalb sie die Verfahrenskosten zu tragen hat (Art. 63 Abs. 1 VwVG). Diese werden auf Fr. 800.-- festgesetzt (Art. 1 ff. des Reglements vom 21. Februar 2008 über die Kosten und Entschädigungen vor dem Bundesverwaltungsgericht [VGKE, SR 173.320.2]).</w:t>
      </w:r>
    </w:p>
    <w:p>
      <w:r>
        <w:rPr>
          <w:b/>
        </w:rPr>
        <w:t>E. 5.2</w:t>
      </w:r>
    </w:p>
    <w:p>
      <w:r>
        <w:t>Angesichts ihres Unterliegens steht der Beschwerdeführerin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