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A-7486/2016 vom 14. Dezember 2017</w:t>
      </w:r>
    </w:p>
    <w:p>
      <w:r>
        <w:t>Bundesverwaltungsgericht, 2017-12-14, DE</w:t>
      </w:r>
    </w:p>
    <w:p>
      <w:r>
        <w:rPr>
          <w:b/>
        </w:rPr>
        <w:t xml:space="preserve">Quelle: </w:t>
      </w:r>
      <w:r>
        <w:t>https://mcp.opencaselaw.ch/entscheid/bvger_A-7486_2016</w:t>
      </w:r>
    </w:p>
    <w:p>
      <w:r>
        <w:t>FR: TAF A-7486/2016 du 14 décembre 2017</w:t>
      </w:r>
    </w:p>
    <w:p>
      <w:r>
        <w:t>IT: TAF A-7486/2016 del 14 dicembre 2017</w:t>
      </w:r>
    </w:p>
    <w:p>
      <w:pPr>
        <w:pStyle w:val="Heading2"/>
      </w:pPr>
      <w:r>
        <w:t>Regeste</w:t>
      </w:r>
    </w:p>
    <w:p>
      <w:r>
        <w:t>Zölle</w:t>
      </w:r>
    </w:p>
    <w:p>
      <w:pPr>
        <w:pStyle w:val="Heading2"/>
      </w:pPr>
      <w:r>
        <w:t>Erwägungen</w:t>
      </w:r>
    </w:p>
    <w:p>
      <w:r>
        <w:rPr>
          <w:b/>
        </w:rPr>
        <w:t>E. 1.1</w:t>
      </w:r>
    </w:p>
    <w:p>
      <w:r>
        <w:t>Nicht erstinstanzliche Entscheide der Zollkreisdirektionen können beim Bundesverwaltungsgericht angefochten werden. Im Verfahren vor dieser Instanz wird die Zollverwaltung durch die Oberzolldirektion vertreten (Art. 31 i.V.m. Art. 33 Bst. d VGG; Art. 116 Abs. 2 des Zollgesetzes vom 18. März 2005 [ZG, SR 631.0]). Das Verfahren richtet sich - soweit das VGG nichts anderes bestimmt - nach den Vorschriften des VwVG (Art. 37 VGG).</w:t>
      </w:r>
    </w:p>
    <w:p>
      <w:r>
        <w:rPr>
          <w:b/>
        </w:rPr>
        <w:t>E. 1.2</w:t>
      </w:r>
    </w:p>
    <w:p>
      <w:r>
        <w:t>Die Beschwerdeführerin ist durch den angefochtenen Entscheid vom 3. November 2016 berührt und hat ein schutzwürdiges Interesse an dessen Aufhebung (Art. 48 VwVG). Auf die im Übrigen frist- und formgerecht (Art. 50 Abs. 1 und 52 Abs. 1 VwVG) eingereichte Beschwerde ist einzutreten.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1.14</w:t>
      </w:r>
    </w:p>
    <w:p>
      <w:r>
        <w:t>(Wasser bereits enthalten) 6.10 Summe 100.00 107.07 200.97 100.00 Der Traubensaftanteil im rückverdünnten Fruchtmischsaftkonzentrat beträgt demnach sowohl unter Anwendung der SFK-Brix-Werte als auch unter Anwendung der RSK-Brix-Werte über 50%, womit das Fruchtmischsaftkonzentrat in beiden Fällen der Zolltarifnummer 2009.9030 zuzuordnen ist und dementsprechend vorliegend offenbleiben kann, welchen der genannten Brix-Werte der Vorzug zu geben ist.</w:t>
      </w:r>
    </w:p>
    <w:p>
      <w:r>
        <w:rPr>
          <w:b/>
        </w:rPr>
        <w:t>E. 1.17</w:t>
      </w:r>
    </w:p>
    <w:p>
      <w:r>
        <w:t>(Wasser bereits enthalten) 6.10 Summe 100.00 103.30 197.20 100.00 Anteil Traubensaft in der rückverdünnten Saftmischung unter Anwendung der RSK-Brix-Werte gemäss Prüfbericht 1: Bezeichnung prozentualer Anteil in der Mischung Brixgehalt (%) in der Mischung Brixgehalt (%) im rückverdünnten Saft für Rückverdünnung notwendiges Wasser rückverdünnter Saft prozentualer Anteil in rückverdünnter Mischung Traubensaftkonzentrat 28.00 65.00 18.00 73.11 101.11 50.31 Guavenpüree 22.20 11.00 11.00 0.00 22.20 11.05 Bananenpüree 18.10 22.00 22.00 0.00 18.10 9.05 Mangopüree 13.10 18.00 18.00 0.00 13.10 6.52 Passionsfruchtsaftkonzentrat 4.60 52.00 14.80 11.56 16.16 8.04 Zitronensaftkonzentrat 2.80 50.00 9.00 12.76 15.56 7.74 Ananassaftkonzentrat 2.80 60.00 13.50 9.64 12.44 6.19 Papayapüree</w:t>
      </w:r>
    </w:p>
    <w:p>
      <w:r>
        <w:rPr>
          <w:b/>
        </w:rPr>
        <w:t>E. 2.1</w:t>
      </w:r>
    </w:p>
    <w:p>
      <w:r>
        <w:t>Das Zollverfahren ist vom Selbstdeklarationsprinzip bestimmt (Art. 21 ff. ZG; vgl. statt vieler: Urteil des BVGer A-825/2016 vom 10. November 2016 E. 3.7). Während des Veranlagungsverfahrens kann die Zollstelle die einmal angenommene Zollanmeldung jederzeit überprüfen (Art. 35 ZG). Auch die Ware selbst kann einer Überprüfung unterzogen werden, um festzustellen, ob die Anmeldepflichten tatsächlich erfüllt worden sind. Dazu steht der EZV die Möglichkeit der Beschau offen (Art. 36 ZG). Wird sie angeordnet, kann sie umfassend - bezogen auf sämtliche Waren einer Anmeldung - oder stichprobenweise - nur bei einem Teil der Sendung - durchgeführt werden (Patrick Raedersdorf, in: Kocher/Clavadetscher [Hrsg.], Zollgesetz, 2009, Art. 36 Rz. 2; Remo Arpagaus, Zollrecht, in: Koller/Müller/Tanquerel/Zimmerli [Hrsg.], Schweizerisches Bundesverwaltungsrecht, Band XII, 2. Aufl., 2007, Rz. 706). Das Ergebnis der Beschau wird schriftlich festgehalten. In der Folge bildet das Ergebnis der Beschau, der sog. Zollbefund, die Grundlage für die Veranlagung und allfällige weitere Verfahren (Art. 37 Abs. 3 ZG). Der Zollbefund ersetzt demnach - selbst bei einer bloss stichprobenweise erfolgten Prüfung - die eigentliche Zollanmeldung und tritt an deren Stelle (Art. 37 Abs. 1 und 3 ZG; vgl. zum Ganzen: Urteil des BVGer A-3030/2013 vom 8. Mai 2014 E. 2.5.1; Arpagaus, a.a.O., Rz. 707).</w:t>
      </w:r>
    </w:p>
    <w:p>
      <w:r>
        <w:rPr>
          <w:b/>
        </w:rPr>
        <w:t>E. 2.2.1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(BGE 131 II 627 E. 6.1; Urteile des BVGer A-2777/2016 vom 4. Juli 2017 E. 1.6, A-2997/2016 vom 6. April 2017 E. 3.7.2 und 3.7.4, A-5757/2015 vom 19. Februar 2016 E. 2.6, A-7148/2010 vom 19. Dezember 2012 E. 7.1).</w:t>
      </w:r>
    </w:p>
    <w:p>
      <w:r>
        <w:rPr>
          <w:b/>
        </w:rPr>
        <w:t>E. 2.2.2</w:t>
      </w:r>
    </w:p>
    <w:p>
      <w:r>
        <w:t>Für die erfolgreiche Geltendmachung des Vertrauensschutzprinzips bedarf es zunächst eines Anknüpfungspunktes; es muss eine Vertrauensgrundlage vorhanden sein. Darunter ist das Verhalten eines staatlichen Organs zu verstehen, das bei den betroffenen Privaten bestimmte Erwartungen auslöst (Urteile des BVGer A-5757/2015 vom 19. Februar 2016 E. 2.6, A-525/2013 vom 25. November 2013 E. 2.5.3, A-1374/2011 vom 5. Januar 2012 E. 3.2). Mündliche oder schriftliche Auskünfte und Zusicherungen einer Verwaltungsbehörde bilden eine Vertrauensgrundlage, wenn sie sich auf eine konkrete, den betroffenen Privaten berührende Angelegenheit beziehen (vgl. BGE 137 II 182 E. 3.5.2, 131 II 627 E. 6.1; René Wiederkehr/Paul Richli, Praxis des allgemeinen Verwaltungsrechts, Bd. I, 2012 N. 2057, mit Hinweisen). Auf die weiteren Voraussetzungen des Vertrauensschutzes muss im vorliegenden Verfahren nicht eingegangen werden.</w:t>
      </w:r>
    </w:p>
    <w:p>
      <w:r>
        <w:rPr>
          <w:b/>
        </w:rPr>
        <w:t>E. 2.2.3</w:t>
      </w:r>
    </w:p>
    <w:p>
      <w:r>
        <w:t>Tarifauskünfte der Zollverwaltung stellen einen Anwendungsfall des Vertrauensprinzips dar. Gemäss Art. 20 Abs. 1 ZG erteilt die EZV auf schriftliche Anfrage schriftliche Auskunft über die zolltarifarische Einreihung und den präferenziellen Ursprung von Waren. Zwischen der einzelfallbezogenen Veranlagungsverfügung (Art. 38 ZG) und der für einen bestimmten Zeitraum und eine unbestimmte Anzahl gleich gelagerter Sachverhalte erteilten Auskunft (Art. 20 ZG) bestehen wesentliche konzeptionelle Unterschiede. So hat die zollrechtliche Veranlagungsverfügung im Gegensatz zur Tarifauskunft eine konkrete, augenblickliche Fallkonstellation im Auge. Aus ihr lassen sich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(Urteil des BGer 2C_423/2012 vom 9. Dezember 2012, publiziert in Archiv für schweizerisches Abgaberecht [ASA] 81 S. 588 ff. E. 3; Urteil des BVGer A-4178/2016 vom 28. September 2017 E. 2.2.1).</w:t>
      </w:r>
    </w:p>
    <w:p>
      <w:r>
        <w:rPr>
          <w:b/>
        </w:rPr>
        <w:t>E. 2.3</w:t>
      </w:r>
    </w:p>
    <w:p>
      <w:r>
        <w:t>Der in Art. 8 BV verankerte Grundsatz der Rechtsgleichheit verlangt, dass Gleiches nach Massgabe seiner Gleichheit gleich und Ungleiches nach Massgabe seiner Ungleichheit ungleich behandelt wird (BGE 134 I 23 E. 9.1; Häfelin/Müller/Uhlmann, Allgemeines Verwaltungsrecht, 7. Aufl., Zürich/St. Gallen 2016, Rz. 572). Ein Anspruch auf Gleichbehandlung im Unrecht wird nach der bundesgerichtlichen Rechtsprechung indes nur ausnahmsweise anerkannt (BGE 132 II 485 E. 8.6 mit Hinweis). Hierzu bedarf es, dass eine rechtsanwendende Behörde eine eigentliche gesetzeswidrige Praxis pflegt und überdies zu erkennen gibt, auch in Zukunft nicht davon abweichen zu wollen (ausführlich: Urteil des BVGer A-704/2013 vom 28. November 2013 E. 4).</w:t>
      </w:r>
    </w:p>
    <w:p>
      <w:r>
        <w:rPr>
          <w:b/>
        </w:rPr>
        <w:t>E. 2.30</w:t>
      </w:r>
    </w:p>
    <w:p>
      <w:r>
        <w:t>9.00 9.00 0.00</w:t>
      </w:r>
    </w:p>
    <w:p>
      <w:r>
        <w:rPr>
          <w:b/>
        </w:rPr>
        <w:t>E. 3.1</w:t>
      </w:r>
    </w:p>
    <w:p>
      <w:r>
        <w:t>Waren, die ins Zollgebiet oder aus dem Zollgebiet verbracht werden, sind zollpflichtig und müssen nach dem ZG sowie nach dem Zolltarifgesetz vom 9. Oktober 1986 (ZTG, SR 632.10) veranlagt werden (Art. 7 ZG).</w:t>
      </w:r>
    </w:p>
    <w:p>
      <w:r>
        <w:rPr>
          <w:b/>
        </w:rPr>
        <w:t>E. 3.1.1</w:t>
      </w:r>
    </w:p>
    <w:p>
      <w:r>
        <w:t>Gemäss Art. 1 ZTG sind alle Waren, die über die schweizerische Zollgrenze ein- und ausgeführt werden, nach dem Generaltarif zu verzollen, welcher in den Anhängen 1 und 2 des ZTG enthalten ist.</w:t>
      </w:r>
    </w:p>
    <w:p>
      <w:r>
        <w:rPr>
          <w:b/>
        </w:rPr>
        <w:t>E. 3.1.2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S. 1004 f.; vgl. auch Botschaft vom 22. Oktober 1985 betreffend das HS-Übereinkommen sowie über die Anpassung des schweizerischen Zolltarifs, BBl 1985 III 357, S. 377 f.; vgl. zum Ganzen: Urteile des BVGer A-3030/2013 vom 8. Mai 2014 E. 2.1.1 und A-5558/2013 vom 4. April 2014 E. 2.1.2 mit zahlreichen weiteren Hinweisen). Der Gebrauchstarif, der für die Alltagspraxis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(Thomas Cottier/David Herren, in: Kocher/Clavadetscher [Hrsg.], Zollgesetz, 2009, Einleitung Rz. 103).</w:t>
      </w:r>
    </w:p>
    <w:p>
      <w:r>
        <w:rPr>
          <w:b/>
        </w:rPr>
        <w:t>E. 3.1.3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Urteil des BGer 2C_436/2015 vom 22. Juli 2016 E. 5; Urteile des BVGer A-3030/2013 vom 8. Mai 2014 E. 2.1.2 und A-5558/2013 vom 4. April 2014 E. 2.1.3 mit weiteren Hinweisen; Michael Beusch/Monique Schnell Luchsinger, Wie harmonisiert ist das Harmonisierte System wirklich? in: Zollrevue, 1/2017 S. 12 ff., 12; Cottier/Herren, a.a.O., Einleitung Rz. 96 ff.).</w:t>
      </w:r>
    </w:p>
    <w:p>
      <w:r>
        <w:rPr>
          <w:b/>
        </w:rPr>
        <w:t>E. 3.2.1</w:t>
      </w:r>
    </w:p>
    <w:p>
      <w:r>
        <w:t>Die Vertragsstaaten des HS-Übereinkommens (E. 3.1.2)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verpflichtet, die allgemeinen Vorschriften für die Auslegung des Harmonisierten Systems (vgl. nachfolgend E. 3.2.4)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Urteil des BVGer A-3030/ 2013 vom 8. Mai 2014 E. 2.2.1 m.w.H.).</w:t>
      </w:r>
    </w:p>
    <w:p>
      <w:r>
        <w:rPr>
          <w:b/>
        </w:rPr>
        <w:t>E. 3.2.2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 des BVGer A-5558/2013 vom 4. April 2014 E. 2.2.2 mit zahlreichen weiteren Hinweisen; vgl. auch Arpagaus, a.a.O., Rz. 578).</w:t>
      </w:r>
    </w:p>
    <w:p>
      <w:r>
        <w:rPr>
          <w:b/>
        </w:rPr>
        <w:t>E. 3.2.3</w:t>
      </w:r>
    </w:p>
    <w:p>
      <w:r>
        <w:t>Die Vertragsstaaten des HS-Übereinkommens beabsichtigen eine einheitliche Auslegung der völkerrechtlich festgelegten Nomenklatur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 - c i.V.m.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Erläuterungen und Einreihungsavisen zu veranlassen (vgl. Urteil des BVGer A-1635/2015 vom 11. April 2016; zum Ganzen: Urteile des BVGer A-3030/2013 vom 5. Mai 2014 E. 2.2.2 und A-5558/2013 vom 4. April 2014 E. 2.2.3 mit zahlreichen weiteren Hinweisen). Dennoch bleibt Raum für nationale Regelungen. So kann die OZD zum Beispiel zusätzlich sogenannte Schweizerische Erläuterungen erlassen. Diese können unter www.tares.ch abgerufen werden (vgl. Urteil des BVGer A-7046/2010 vom 1. April 2011 E. 2.2.3).</w:t>
      </w:r>
    </w:p>
    <w:p>
      <w:r>
        <w:rPr>
          <w:b/>
        </w:rPr>
        <w:t>E. 3.2.4</w:t>
      </w:r>
    </w:p>
    <w:p>
      <w:r>
        <w:t>Hinsichtlich der Auslegung sehen die von den schweizerischen Zoll-behörden angewendeten «Allgemeinen Vorschriften für die Auslegung des Harmonisierten Systems» (nachfolgend: AV) - welche übereinstimmen mit den «Allgemeinen Vorschriften für die Auslegung des Harmonisierten Systems» des offiziellen Textes des Übereinkommens -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A-3030/2013 vom 8. Mai 2014 E. 2.3.2 und A-5558/2013 vom 4. April 2014 E. 2.3.2 mit zahlreichen weiteren Hinweisen). Die Auslegung der schweizerischen Unternummern richtet sich grundsätzlich ebenfalls nach den AV. Während aber die ersten vier Nummern und die ersten zwei Unternummern ausschliesslich den Auslegungsregeln des HS unterstehen, müssen die schweizerischen Unternummern genau gleich wie jede andere Norm des schweizerischen Rechts ausgelegt werden können. Dies bedeutet, dass grundsätzlich die üblichen, von der schweizerischen Lehre und Praxis entwickelten methodologischen Regeln zur Auslegung von Rechtsnormen Anwendung finden. Eine Abweichung vom klaren Wortlaut ist allerdings nur zulässig, wenn triftige Gründe dafür vorliegen, dass der Wortlaut nicht den wahren Sinn der Bestimmung wiedergibt (Urteile des BVGer A-1635/2015 vom 11. April 2016 E. 5.4.1, A-5216/2014 vom 13. April 2015 E. 2.7.3, A-3459/2014 vom 11. Februar 2015 E. 2.3.3; vgl. zum Ganzen bereits Entscheid der Eidgenössischen Zollrekurskommission [ZRK] 1998-018 vom 19. Februar 1999, in Verwaltungspraxis der Bundes-behörden [VPB] 64.10 E. 3a mit weiteren Hinweisen; ARPAGAUS, a.a.O., Rz. 588; BEUSCH/SCHNELL LUCHSINGER, a.a.O., S. 17 f.).</w:t>
      </w:r>
    </w:p>
    <w:p>
      <w:r>
        <w:rPr>
          <w:b/>
        </w:rPr>
        <w:t>E. 3.3.1</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der Bezeichnung durch den Hersteller oder Empfänger der Ware lediglich hinweisende, nicht aber ausschlaggebende Bedeutung zu (vgl. Urteile des BVGer A-2301/2016 vom 8. Februar 2017 E. 2.3.1; A-3030/2013 vom 8. Mai 2014 E. 2.3.1).</w:t>
      </w:r>
    </w:p>
    <w:p>
      <w:r>
        <w:rPr>
          <w:b/>
        </w:rPr>
        <w:t>E. 3.3.2</w:t>
      </w:r>
    </w:p>
    <w:p>
      <w:r>
        <w:t>Kommen für die Einreihung von Waren zwei oder mehr Nummern in Betracht, so ist gemäss Ziff. 3 AV wie folgt vorzugehen: a)Die Nummer mit der genaueren Warenbezeichnung geht den Nummern mit allgemeinerer Warenbezeichnung vor. b)Waren, die aus verschiedenen Stoffen oder Bestandteilen bestehen, werden nach dem Stoff oder Bestandteil eingereiht, der ihnen ihren wesentlichen Charakter verleiht. c)Die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 des BVGer A-3030/2013 vom 8. Mai 2014 E. 2.3.3 m.w.H.).</w:t>
      </w:r>
    </w:p>
    <w:p>
      <w:r>
        <w:rPr>
          <w:b/>
        </w:rPr>
        <w:t>E. 3.3.3</w:t>
      </w:r>
    </w:p>
    <w:p>
      <w:r>
        <w:t>Massgebend für die die Einreihung von Waren in die schweizerischen Unternummern sind gemäss den ergänzenden schweizerischen Vorschriften der AV der Wortlaut dieser schweizerischen Unternummern und der schweizerischen Anmerkungen sowie, mutatis mutandis, die vorstehenden Vorschriften, wobei nur schweizerische Unternummern der gleichen Gliederungsstufe einander gegenüber gestellt werden können. Bei Auslegung dieser Vorschriften sind, vorbehältlich gegenteiliger Bestimmungen betreffend die schweizerischen Unternummern, die Abschnitt-, Kapitel- und Unternummern-Anmerkungen ebenfalls anwendbar (Urteile des BVGer A-4178/2016 vom 28. September 2017 E. 3.3.3; A-3459/2014 vom 11. Februar 2015 E. 2.4.4; A-5216/2014 vom 13. April 2015 E. 2.7.2 a.E.).</w:t>
      </w:r>
    </w:p>
    <w:p>
      <w:r>
        <w:rPr>
          <w:b/>
        </w:rPr>
        <w:t>E. 4.1</w:t>
      </w:r>
    </w:p>
    <w:p>
      <w:r>
        <w:t>Dem schweizerischen Gebrauchstarif (Stand: 14. Juni 2016) lässt sich aus dem Abschnitt IV «Waren der Nahrungsmittelindustrie; Getränke, alkoholische Flüssigkeiten und Essig; Tabak und verarbeitete Tabakersatz-stoffe» folgendes zu den vorliegend massgeblichen Tarifnummern entnehmen: 20Zubereitungen von Gemüse, Früchten oder anderen Pflanzenteilen [...] 2009Fruchtsäfte (einschliesslich Traubenmost) oder Gemüsesäfte, nicht gegoren, ohne Zusatz von Alkohol, auch mit Zusatz von Zucker oder anderen Süssstoffen: [...] 2009.90- Mischungen von Säften -- Gemüsesäfte [...] -- andere 2009.9030--- auf der Grundlage von Traubensaft, eingedickt --- auf der Grundlage von Kernobstsaft, eingedickt: 2009.9031---- innerhalb des Zollkontingents (K-Nr. 21) eingeführt 2009.9039---- andere --- andere, ohne Zusatz von Zucker oder anderen Süssstoffen: ---- Kernobstsaft enthaltend, eingedickt: 2009.9041----- innerhalb des Zollkontingents (K-Nr. 21) eingeführt 2009.9049----- andere ---- Kernobstsaft enthaltend, nicht eingedickt: 2009.9051----- innerhalb des Zollkontingents (K-Nr. 21) eingeführt 2009.9059----- andere ---- andere: 2009.9061----- auf der Grundlage von tropischen Früchten 2009.9069----- andere --- andere, mit Zusatz von Zucker oder anderen Süssstoffen: ---- Kernobstsaft enthaltend, eingedickt: 2009.9071----- innerhalb des Zollkontingents (K-Nr. 21) eingeführt 2009.9079----- andere ---- Kernobstsaft enthaltend, nicht eingedickt: 2009.9081----- innerhalb des Zollkontingents (K-Nr. 21) eingeführt 2009.9089----- andere ---- andere: 2009.9098----- auf der Grundlage von tropischen Früchten 2009.9099----- andere Der Normalsatz für die Tarifnummer 2009.9030 beträgt CHF 782.- je 100 kg brutto, während für die Tarifnummer 2009.9069 der Normalsatz CHF 7.- je 100 kg brutto beträgt. Bei der Tarifnummer 2009.9069 kommen zudem statistische Schlüssel zur Anwendung und zwar, soweit relevant, wie folgt: 801- in Glasflaschen 819- andere</w:t>
      </w:r>
    </w:p>
    <w:p>
      <w:r>
        <w:rPr>
          <w:b/>
        </w:rPr>
        <w:t>E. 4.2</w:t>
      </w:r>
    </w:p>
    <w:p>
      <w:r>
        <w:t>Gemäss den Anmerkungen zum Abschnitt IV Kapitel 20 (Ziffer 6) gelten im Sinne der Tarif-Nr. 2009 als "Säfte, nicht gegoren, ohne Zusatz von Alkohol" Säfte mit einem Alkoholgehalt von nicht mehr als 0,5% Volumen.</w:t>
      </w:r>
    </w:p>
    <w:p>
      <w:r>
        <w:rPr>
          <w:b/>
        </w:rPr>
        <w:t>E. 4.3</w:t>
      </w:r>
    </w:p>
    <w:p>
      <w:r>
        <w:t>In den Schweizerischen Erläuterungen zu den Tarifnummern 2009.9030/9039 ist sodann festgehalten: "Hierher gehören Mischungen von Säften, die über 50 % Trauben- und/oder Kernobstsaft enthalten, eingedickt. Massgebend für die Berechnung sind dabei die Anteile in der rückverdünnten Mischung (vgl. vorstehende Erläuterungen)". Die (vorstehenden) Erläuterungen zur Tarifnummer 2009 halten u.a. fest: "Die hierher gehörenden Frucht- und Gemüsesäfte können eingedickt (gefroren oder nicht) sein; sie gehören auch in Kristall- oder Pulverform hierher, vorausgesetzt, dass sie in dieser Form ganz oder fast ganz wasserlöslich sind. Diese Waren werden gewöhnlich unter Anwendung von Wärme (auch im Vakuum) oder durch Gefriertrocknung hergestellt. Gewisse eingedickte Säfte können aufgrund ihres Brix-Wertes von den entsprechenden nicht eingedickten Säften unterschieden werden (siehe Unternummer-Anmerkung 3 zu diesem Kapitel). (...). Ebenso gehören hierher Mischungen von Frucht- oder Gemüsesäften und rückverdünnte Säfte, d.h. eingedickte Säfte, denen Wasser in einer Menge zugesetzt wurde, wie es in entsprechenden nicht eingedickten Säften üblicher Beschaffenheit enthalten ist. Normale Frucht- oder Gemüsesäfte mit Zusatz von Wasser, sowie eingedickte Säfte mit Zusatz von Wasser in einer Menge, die den ursprünglichen Wassergehalt des entsprechenden Saftes üblicher Beschaffenheit übersteigt, sind jedoch als Getränke nach Nr. 2202 einzureihen."</w:t>
      </w:r>
    </w:p>
    <w:p>
      <w:r>
        <w:rPr>
          <w:b/>
        </w:rPr>
        <w:t>E. 5</w:t>
      </w:r>
    </w:p>
    <w:p>
      <w:r>
        <w:t>Im vorliegenden Fall ist die Tarifierung der im Sachverhalt erwähnten Einfuhrsendung von Fruchtmischsaftkonzentrat strittig (vgl. Sachverhalt Bst. B bis X). Die Beschwerdeführerin ist der Ansicht, das Fruchtmischsaftkonzentrat sei unter die Tarifnummer 2009.9069 mit dem Zollansatz von CHF 7.00/100 kg einzureihen, während die Vorinstanz die Tarifnummer 2009.9030 mit dem Zollansatz von CHF 782.00/100 kg als einschlägig betrachtet. Im Folgenden ist somit zu prüfen, welche Zolltarifnummer auf das Fruchtmischsaftkonzentrat anwendbar ist. Dabei ist, wie vorangehend dargelegt (E. 3.2.4), nach der gesetzlich bzw. staatsvertraglich festgelegten Reihenfolge (Tariftext - Anmerkungen - Allgemeine Vorschriften) vorzugehen.</w:t>
      </w:r>
    </w:p>
    <w:p>
      <w:r>
        <w:rPr>
          <w:b/>
        </w:rPr>
        <w:t>E. 5.1</w:t>
      </w:r>
    </w:p>
    <w:p>
      <w:r>
        <w:t>Die Tarifnummer 2009.90 ist dann einschlägig, wenn es sich bei der zu beurteilenden Ware um eine Frucht- oder Gemüsesaftmischung handelt, die nicht gegoren ist und der kein Alkohol zugesetzt wurde, wobei der Zusatz von Zucker oder anderer Süssstoffe nicht schädlich ist (E. 4.1 f.). Dass das hier zu beurteilende Fruchtmischsaftkonzentrat hierunter fällt, ergibt sich ohne weiteres aus der Produktspezifikation (vgl. Sachverhalt Bst. D) und ist auch nicht bestritten.</w:t>
      </w:r>
    </w:p>
    <w:p>
      <w:r>
        <w:rPr>
          <w:b/>
        </w:rPr>
        <w:t>E. 5.2</w:t>
      </w:r>
    </w:p>
    <w:p>
      <w:r>
        <w:t>Nach der Vorinstanz ist das Fruchtmischsaftkonzentrat unter die schweizerische Unternummer 30 (2009.9030) einzureihen. Hierfür ist gemäss dem Text zur Tarifnummer erforderlich, dass die zu beurteilende Saftmischung Traubensaft zur Grundlage hat und eingedickt ist (E. 4.1). Den Schweizerischen Erläuterungen zu den Tarifnummern 2009.9030/9039 zufolge, hat eine Mischung von Säften dann Traubensaft zur Grundlage, wenn sie zu über 50% aus Traubensaft besteht. Ob die genannte 50%-Grenze überschritten wird, ist anhand der rückverdünnten Mischung zu eruieren. Als rückverdünnt gilt eine Saftmischung den Erläuterungen zur Tarifnummer 2009 zufolge dann, wenn ihr Wasser in einer Menge zugesetzt wurde, wie es in entsprechenden nicht eingedickten Säften üblicher Beschaffenheit enthalten ist. Wird über diese übliche Beschaffenheit hinaus Wasser hinzugefügt, ist die Saftmischung nicht mehr als solche, sondern als Getränk nach Tarifnummer 2202 einzureihen (E. 4.3). Zurecht unbestritten ist, dass es sich beim Fruchtmischsaftkonzentrat um einen eingedickten Mischsaft handelt, womit zu prüfen bleibt, ob der Traubensaftanteil in der rückverdünnten Mischung über 50% beträgt.</w:t>
      </w:r>
    </w:p>
    <w:p>
      <w:r>
        <w:rPr>
          <w:b/>
        </w:rPr>
        <w:t>E. 5.3</w:t>
      </w:r>
    </w:p>
    <w:p>
      <w:r>
        <w:t>Für die Berechnung des Traubensaftanteils im Fruchtmischsaftkonzentrat stellt sich vorab die Frage, in welchem Masse eine (rechnerische) Rückverdünnung vorzunehmen ist bzw. was unter "entsprechenden nicht eingedickten Säften üblicher Beschaffenheit" im Sinne der Erläuterungen (vgl. E. 4.3) zu verstehen ist. Die Erläuterungen zur Tarifnummer 2009 unterscheiden eingedickte Säfte aufgrund ihres Brix-Wertes von den entsprechenden nicht eingedickten Säften (mit Verweis auf die Unternummer-Anmerkung 3 zu diesem Kapitel). Folgerichtig stellen sowohl die Beschwerdeführerin als auch die Vorinstanz zurecht auf die Brix-Werte ab, um den Konzentrationsgrad eines Fruchtsaftes zu bemessen. Demnach müssen die Komponenten des Fruchtmischsaftkonzentrates zur Berechnung des Traubensaftanteils (rechnerisch) soweit verdünnt werden, dass die Brix-Werte in der rückverdünnten Mischung den Brix-Werten entsprechen, wie sie in natürlichen (i.e. weder verdünnten noch konzentrierten) Säften üblicherweise vorkommen, i.e. wie sie meistens oder normalerweise vorkommen. Die Brix-Mindestwerte gemäss Anhang 3 der Verordnung des EDI über alkoholfreie Getränke sind demnach - wie seitens der Parteien letztlich auch nicht bestritten (vgl. Sachverhalt Bst. O und P) - nicht heranzuziehen. Vielmehr müssen die Brix-Werte im rückverdünnten Saft Erfahrungsmittelwerten entsprechen. Während sich die Vorinstanz - abgesehen vom Brix-Wert des Traubensafts im Prüfbericht 2 - bei dieser Berechnung auf RSK-Werte stützt, verwendet die Beschwerdeführerin Brix-Mittelwerte gemäss SFK (vgl. Sachverhalt Bst. O und P): Bezeichnung RSK-Brix-Werte gemäss Prüfbericht 1 SFK-Brix-Werte Traubensaftkonzentrat 18.00 18.10 Passionsfruchtsaftkonzentrat 14.80 18.00 Zitronensaftkonzentrat 9.00 9.00 Ananassaftkonzentrat 13.50 13.90 Um anhand dieser RSK-Werte bzw. SFK-Werte die Anteile der einzelnen Saftkomponenten im rückverdünnten Saft eruieren zu können, sind vorab die Brix-Werte der Konzentrate mit den Brix-Werten der natürlichen Säfte (RSK-Werte bzw. SFK-Werte) ins Verhältnis zu setzen. Der so errechnete Konzentrationsgrad der einzelnen Saftkomponenten ist sodann mit ihrem jeweiligen Anteil im Fruchtmischsaftkonzentrat zu multiplizieren und das sich hieraus ergebende Resultat anschliessend mit der Gesamtmenge des rückverdünnten Fruchtsafts ins Verhältnis zu setzen. Diese Berechnung ergibt unter Anwendung der SFK-Brix-Werte einen Traubensaftanteil in der rückverdünnten Mischung in Höhe von 50.99% bzw. von 50.31%, wenn die RSK-Brix-Werte gemäss dem Prüfbericht 1 zur Anwendung kommen (vgl. nachfolgende Darstellungen). Anteil Traubensaft in der rückverdünnten Saftmischung unter Anwendung der SFK-Brix-Werte: Bezeichnung prozentualer Anteil in der Mischung Brixgehalt (%) in der Mischung Brixgehalt (%) im rückverdünnten Saft für Rückverdünnung notwendiges Wasser Anteil in der rückverdünnten Mischung prozentualer Anteil in rückverdünnter Mischung Traubensaftkonzentrat 28.00 65.00 18.10 72.55 100.55 50.99 Guavenpüree 22.20 11.00 11.00 0.00 22.20 11.26 Bananenpüree 18.10 22.00 22.00 0.00 18.10 9.18 Mangopüree 13.10 18.00 18.00 0.00 13.10 6.64 Passionsfruchtsaftkonzentrat 4.60 52.00 18.00 8.69 13.29 6.74 Zitronensaftkonzentrat 2.80 50.00 9.00 12.76 15.56 7.89 Ananassaftkonzentrat 2.80 60.00 13.90 9.29 12.09 6.13 Papayapüree</w:t>
      </w:r>
    </w:p>
    <w:p>
      <w:r>
        <w:rPr>
          <w:b/>
        </w:rPr>
        <w:t>E. 5.4</w:t>
      </w:r>
    </w:p>
    <w:p>
      <w:r>
        <w:t>Was die Beschwerdeführerin hiergegen vorbringt, vermag nicht zu überzeugen:</w:t>
      </w:r>
    </w:p>
    <w:p>
      <w:r>
        <w:rPr>
          <w:b/>
        </w:rPr>
        <w:t>E. 5.4.1</w:t>
      </w:r>
    </w:p>
    <w:p>
      <w:r>
        <w:t>Die Beschwerdeführerin begründet ihren Antrag, wonach für das Fruchtmischsaftkonzentrat die Tarifnummer 2009.9069 (und nicht die Tarifnummer 2009.9030) anzuwenden sei, im Wesentlichen damit, dass die von der Vorinstanz (und in E. 5.3) angewandte Methode zur rechnerischen Rückverdünnung des Fruchtmischsaftkonzentrats nicht korrekt sei. Das sich im Fruchtmischsaftkonzentrat befindliche Wasser müsse dabei mitberücksichtig werden (vgl. Sachverhalt Bst. O, Q und X). Ein solcher Einbezug des Wassers im Fruchtmischsaftkonzentrat in die Errechnung der rückverdünnten Mischung ist zwar möglich und nicht grundsätzlich falsch, verkompliziert jedoch die Berechnung unnötig und ändert nichts am Resultat. Denn, wenn das Wasser mit in die Berechnung einbezogen wird, ist es nicht - wie bei den Berechnungen der Beschwerdeführerin - als separater Posten zu behandeln (vgl. dazu Sachverhalt Bst. O, Kontrollrechnungen 1 und 2), sondern vielmehr auf die einzelnen Saftkomponenten anteilsmässig aufzuteilen. Dies führt zu nichts anderem, als dass die "Ausgangs-Brix-Werte" der einzelnen Fruchtsaftkomponenten im Konzentrat weniger hoch sind und der Multiplikator für die Rückverdünnung dementsprechend tiefer wird. Mit anderen Worten braucht es bei dieser Vorgehensweise für die Rückverdünnung weniger Wasser, und zwar genau im Umfange des Wassers, das sich bereits im Fruchtmischsaftkonzentrat befindet. Des Resultat bzw. die Anteile in der rückverdünnten Mischung hingegen, bleiben dieselben. Dementsprechend kann der Beschwerdeführerin auch nicht gefolgt werden, wenn sie der Vorinstanz mit Bezug auf die Berechnungsmethode, i.e. mit oder ohne Berücksichtigung des sich im Fruchtmischsaftkonzentrat befindlichen Wassers, vorhält, die Erläuterungen seien unklar formuliert (vgl. Sachverhalt Bst. Q). Denn dass das besagte Wasser nicht zweifach in die Berechnung miteinbezogen wird, versteht sich von selbst.</w:t>
      </w:r>
    </w:p>
    <w:p>
      <w:r>
        <w:rPr>
          <w:b/>
        </w:rPr>
        <w:t>E. 5.4.2</w:t>
      </w:r>
    </w:p>
    <w:p>
      <w:r>
        <w:t>Nichts zu ihren Gunsten ableiten kann die Beschwerdeführerin sodann, wenn sie vorbringt, der von der Vorinstanz eingereichte Zollbefund vom Dezember 2012 (act. 1c) sei zwar nicht Basis für eine verbindliche Zolltarifauskunft, die Tarifeinreihung sei jedoch gemäss den Angaben ihrer damaligen Lieferantin vorgenommen worden und betreffe dasselbe Produkt (i.e. abgesehen von minimalen Abweichungen der Brix-Werte), weshalb sie in guten Treuen die Tarifnummer 2009.9069 für weitere Importe des identischen Produktes übernommen habe (vgl. Sachverhalt Bst. X). Denn erstens ist ein Zollbefund lediglich, aber immerhin, Grundlage für eine zollrechtliche Veranlagung und hat eine konkrete, augenblickliche Fallkonstellation im Auge, woraus sich keine rechtsverbindlichen Schlüsse auf künftige Veranlagungen ziehen lassen, selbst wenn es dannzumal um Waren der nämlichen Gattung ging (E. 2.1 i.V.m. E. 2.2.3). Zweitens fehlt es vorliegend nur schon deshalb an einer Vertrauensgrundlage, auf die sich die Beschwerdeführerin berufen könnte, da der Zollbefund bzw. die darauf basierende Veranlagung eine Dritte, nämlich die damalige Lieferantin der Beschwerdeführerin, und nicht sie selbst betraf und sich der der damaligen Veranlagung zugrundeliegende Sachverhalt (i.e. Brix-Werte des Konzentrats) inzwischen geändert hat (E. 2.2.2).</w:t>
      </w:r>
    </w:p>
    <w:p>
      <w:r>
        <w:rPr>
          <w:b/>
        </w:rPr>
        <w:t>E. 5.4.3</w:t>
      </w:r>
    </w:p>
    <w:p>
      <w:r>
        <w:t>Im Übrigen vermag die Beschwerdeführerin auch nicht durchdringen, sollte sie mit dem Einwand, der Traubensaftanteil hätte auch bei der im Jahre 2012 deklarierten Produktspezifikation über 50% betragen müssen, wenn - gemäss der Methode der Vorinstanz - die Berechnung ohne Berücksichtigung des Wasseranteils erfolge (Sachverhalt Bst. X), eine Gleichbehandlung im Unrecht anstreben. Denn für eine Gleichbehandlung im Unrecht müsste die Vorinstanz eine eigentliche gesetzwidrige Praxis pflegen und überdies zu erkennen geben, auch in Zukunft nicht davon abweichen zu wollen (E. 2.3). Da hierfür keinerlei Anzeichen bestehen, braucht auch nicht geprüft zu werden, ob der Traubensaftanteil bei der im Jahre 2012 deklarierten Produktspezifikation tatsächlich über 50% hätte betragen müssen.</w:t>
      </w:r>
    </w:p>
    <w:p>
      <w:r>
        <w:rPr>
          <w:b/>
        </w:rPr>
        <w:t>E. 5.4.4</w:t>
      </w:r>
    </w:p>
    <w:p>
      <w:r>
        <w:t>Der Beschwerdeführerin kann sodann nicht gefolgt werden, wenn sie vorbringt, die Schweizerischen Erläuterungen zur hier strittigen Tarifnummer 2009.9030 seien per se zu unbestimmt und erklärungsbedürftig und würden eine einheitliche und gleichmässige Praxis von vornherein verhindern, wodurch erhebliche Rechtsunsicherheit entstehe (vgl. Sachverhalt Bst. O und Q). Allerdings ist der Einwand der Beschwerdeführerin, die Vorinstanz würde mit verschiedenen Brix-Werten operieren, womit der Eindruck entstehe, die Tests würden ergebnisorientiert vorgenommen, wodurch den Betroffenen ein Übermass an Rechtsunsicherheit zugemutet würde (vgl. Sachverhalt Bst. O, Q und X), nachvollziehbar. So wurde zum Beispiel im Rahmen der Kontrolle des im Jahre 2012 eingeführten Fruchtmischsaftkonzentrats (vgl. Sachverhalt Bst. S) zur Berechnung des rückverdünnten Traubensafts ein Ziel-Brixwert von 18.2 verwendet (vgl. Sachverhalt Bst. V, handschriftliche Ergänzung der Brix-Werte in act. 13d), während im Rahmen des Prüfberichts 1 ein solcher von 18.0 verwendet wurde (act. 10a). Dies ändert zwar am Entscheid in der vorliegenden Sache nichts, zumal - wie schon festgehalten (vgl. E. 5.3 und E. 5.4.3) - insbesondere auch die seitens der Beschwerdeführerin ins Feld geführten Brix-Werte zu keinem anderen Ergebnis führen. Nichtsdestotrotz ist es mit der Rechtssicherheit unvereinbar, wenn für die rechnerische Ermittlung der rückverdünnten Saftkomponenten keine einheitlichen Werte verwendet werden. Gerade im vom Selbstdeklarationsprinzip geprägten Zollverfahren (E. 2.1) ist es aus Gründen der Rechtssicherheit unerlässlich, dass die Zollschuldner in einem Falle wie dem vorliegenden die anwendbare Zolltarifnummer selbst zweifelsfrei errechnen können. Dazu ist die Publikation verbindlicher Brix-Werte unabdingbar.</w:t>
      </w:r>
    </w:p>
    <w:p>
      <w:r>
        <w:rPr>
          <w:b/>
        </w:rPr>
        <w:t>E. 5.5</w:t>
      </w:r>
    </w:p>
    <w:p>
      <w:r>
        <w:t>Nach dem Gesagten ist die in Frage stehende Ware - in Übereinstimmung mit der Vorinstanz - der Tarifnummer 2009.9030 zuzuordnen und die Beschwerde sowohl im Haupt- als auch im Eventualantrag abzuweisen.</w:t>
      </w:r>
    </w:p>
    <w:p>
      <w:r>
        <w:rPr>
          <w:b/>
        </w:rPr>
        <w:t>E. 6.1</w:t>
      </w:r>
    </w:p>
    <w:p>
      <w:r>
        <w:t>Bei diesem Ausgang des Verfahrens hat die Beschwerdeführerin als unterliegende Partei die Verfahrenskosten zu tragen. Diese sind auf CHF 3'500.- festzusetzen (Art. 63 Abs. 1 VwVG i.V.m. Art. 1 ff. des Regle-ments vom 21. Februar 2008 über die Kosten und Entschädigungen vor dem Bundesverwaltungsgericht [VGKE, SR 173.320.2]). Der in gleichem Umfang einbezahlte Kostenvorschuss ist zur Begleichung der Verfahrens-kosten zu verwenden.</w:t>
      </w:r>
    </w:p>
    <w:p>
      <w:r>
        <w:rPr>
          <w:b/>
        </w:rPr>
        <w:t>E. 6.2</w:t>
      </w:r>
    </w:p>
    <w:p>
      <w:r>
        <w:t>Angesichts ihres Unterliegens steht der Beschwerdeführerin keine Parteientschädigung zu (Art. 64 Abs. 1 VwVG i.V.m. Art. 7 Abs. 1 VGKE e contrario). Auch der Vorinstanz ist keine Parteientschädigung zuzusprechen (Art. 64 Abs. 1 VwVG i.V.m. Art. 7 Abs. 3 VGKE).</w:t>
      </w:r>
    </w:p>
    <w:p>
      <w:r>
        <w:rPr>
          <w:b/>
        </w:rPr>
        <w:t>E. 7</w:t>
      </w:r>
    </w:p>
    <w:p>
      <w:r>
        <w:t>Der vorliegende Entscheid über die Tarifierung kann nicht mit Beschwerde in öffentlich-rechtlichen Angelegenheiten an das Bundesgericht weitergezogen werden (Art. 83 Bst. l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