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A-744/2024 vom 29. Oktober 2025</w:t>
      </w:r>
    </w:p>
    <w:p>
      <w:r>
        <w:t>Bundesverwaltungsgericht, 2025-10-29, DE</w:t>
      </w:r>
    </w:p>
    <w:p>
      <w:r>
        <w:rPr>
          <w:b/>
        </w:rPr>
        <w:t xml:space="preserve">Quelle: </w:t>
      </w:r>
      <w:r>
        <w:t>https://mcp.opencaselaw.ch/entscheid/bvger_A-744_2024</w:t>
      </w:r>
    </w:p>
    <w:p>
      <w:r>
        <w:t>FR: TAF A-744/2024 du 29 octobre 2025</w:t>
      </w:r>
    </w:p>
    <w:p>
      <w:r>
        <w:t>IT: TAF A-744/2024 del 29 ottobre 2025</w:t>
      </w:r>
    </w:p>
    <w:p>
      <w:pPr>
        <w:pStyle w:val="Heading2"/>
      </w:pPr>
      <w:r>
        <w:t>Regeste</w:t>
      </w:r>
    </w:p>
    <w:p>
      <w:r>
        <w:t>Amtshilfe</w:t>
      </w:r>
    </w:p>
    <w:p>
      <w:pPr>
        <w:pStyle w:val="Heading2"/>
      </w:pPr>
      <w:r>
        <w:t>Erwägungen</w:t>
      </w:r>
    </w:p>
    <w:p>
      <w:r>
        <w:rPr>
          <w:b/>
        </w:rPr>
        <w:t>E. 1.1</w:t>
      </w:r>
    </w:p>
    <w:p>
      <w:r>
        <w:t>Das vorliegende Amtshilfeersuchen vom 28. Mai 2021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StAhiG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w:t>
      </w:r>
    </w:p>
    <w:p>
      <w:r>
        <w:t>Zunächst ist auf die Rüge der Verletzung des rechtlichen Gehörs einzugehen.</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m.w.H.).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w:t>
      </w:r>
    </w:p>
    <w:p>
      <w:r>
        <w:rPr>
          <w:b/>
        </w:rPr>
        <w:t>E. 2.2</w:t>
      </w:r>
    </w:p>
    <w:p>
      <w:r>
        <w:t>Die Beschwerdeführerin rügt im vorliegenden Verfahren, die Schlussverfügung vom 11. Dezember 2023 enthalte keine Angaben zum Umfang der zu übermittelnden Unterlagen. Die Schlussverfügung enthalte weder ein Verzeichnis der zu übermittelnden Unterlagen noch seien diese, mit Ausnahme von «enclosure 03», der Schlussverfügung beigelegt. Ein Hinweis auf die zu übermittelnden Unterlagen ergebe sich einzig aus dem im Dispositiv beantworteten Fragebogen, da die Antworten Referenzierungen auf gewisse Beilagen enthielten. Der Umfang der zu übermittelnden Unterlagen sei somit in der Schlussverfügung offensichtlich nicht bestimmt und die Beschwerdeführerin sei im Unklaren darüber, welche Unterlagen nun konkret an die ersuchende Behörde übermittelt werden sollen. Die Tatsache, dass ihr vor Erlass der Schlussverfügung Akteneinsicht gewährt worden sei, ändere nichts an der Notwendigkeit, dass sich aus der Schlussverfügung unzweifelhaft ergeben müsse, welche Unterlagen zur Übermittlung vorgesehen seien. Wenn praxisgemäss darauf verzichtet werde, so sei in der Schlussverfügung im Dispositiv oder in Form eines beigelegten Verzeichnisses zumindest auf diese zu verweisen. Vorliegend fehle ein solcher Verweis, der dazu führe, dass Unklarheit über die zur Übermittlung vorgesehenen Unterlagen bestehe, weshalb sie (die Beschwerdeführerin) sich nicht gehörig dazu habe äussern können.</w:t>
      </w:r>
    </w:p>
    <w:p>
      <w:r>
        <w:rPr>
          <w:b/>
        </w:rPr>
        <w:t>E. 2.3</w:t>
      </w:r>
    </w:p>
    <w:p>
      <w:r>
        <w:t>Die Vorinstanz argumentiert zu diesem Punkt, sie habe der Beschwerdeführerin vollständige Akteneinsicht gewährt. Diese sei daher vollumfänglich über die zur Übermittlung vorgesehenen Informationen informiert und in der Lage gewesen, sich im Rahmen ihrer Stellungnahme vor Erlass der Schlussverfügung zur Sache zu äussern. Praxisgemäss stelle die ESTV mit Zustellung der Schlussverfügung - nach Prüfung der vorgebrachten Schwärzungsanträge - lediglich die angepassten Übermittlungsbeilagen zusammen mit der Schlussverfügung nochmals zu. Der Beschwerdeführerin habe zum Zeitpunkt der Schlussverfügung vom 11. Dezember 2023 die zur Übermittlung vorgesehenen Informationen, zusammengesetzt aus dem Schreiben der ESTV vom 11. September 2023 sowie dem angepassten «Enclosure 03», vorgelegen. Der Umfang der zu übermittelnden Unterlagen sei zum Zeitpunkt der Schlussverfügung bestimmt gewesen und die Beschwerdeführerin habe davon Kenntnis gehabt, welche Unterlagen konkret an die ersuchende Behörde übermittelt werden sollen. Eine Verletzung des rechtlichen Gehörs liege nicht vor.</w:t>
      </w:r>
    </w:p>
    <w:p>
      <w:r>
        <w:rPr>
          <w:b/>
        </w:rPr>
        <w:t>E. 2.4</w:t>
      </w:r>
    </w:p>
    <w:p>
      <w:r>
        <w:t>Die Vorbringen der Beschwerdeführerin betreffend die Verletzung des rechtlichen Gehörs erweisen sich als unbegründet. Der Beschwerdeführerin ist nämlich im vorinstanzlichen Verfahren Akteneinsicht betreffend alle sie betreffenden bzw. entscheidrelevanten Dokumente und die Möglichkeit zur Stellungnahme gegeben worden. Wie die Vorinstanz zutreffend ausführt, war die Beschwerdeführerin damit vollumfänglich über die zur Übermittlung vorgesehenen Informationen informiert und sie war in der Lage, sich vor Erlass der Schlussverfügung zur Sache zu äussern und sich vollumfassend zu verteidigen. Dieses Recht nahm sie wahr und ihre Argumente wurden von der Vorinstanz gehört, welche die zur Übermittlung bestimmten Informationen betreffend den Anhang 3 daraufhin noch leicht anpasste. Das Dispositiv der streitbetroffenen Schlussverfügung verweist im Rahmen der Antworten auf die Fragen der ersuchenden Behörde auf die jeweiligen Anhänge, sodass diese Bestandteil des Dispositivs werden. Daher kann nicht davon gesprochen werden, dass das Dispositiv fehlerhaft oder unvollständig wäre. Die Beschwerdeführerin hatte sodann zum Zeitpunkt der Eröffnung der Schlussverfügung Zugang zu allen Anhängen, welche ihr im Rahmen der Akteneinsicht zugänglich gemacht wurden, bzw. auch zum Anhang 3 (in der neuen Version), welcher - wie erwähnt - leicht angepasst und der Beschwerdeführerin daher zusammen mit der Schlussverfügung nochmals in bereinigter Form zugestellt wurde. Daraus folgt, dass zu keinem Zeitpunkt Unklarheiten über den Inhalt der zur Übermittlung beabsichtigten Informationen bestanden haben. Eine Verletzung des rechtlichen Gehörs liegt somit nicht vor.</w:t>
      </w:r>
    </w:p>
    <w:p>
      <w:r>
        <w:rPr>
          <w:b/>
        </w:rPr>
        <w:t>E. 3.1</w:t>
      </w:r>
    </w:p>
    <w:p>
      <w:r>
        <w:t>Sowohl die Schweiz als auch die Ukraine sind Vertragsparteien des MAC, worauf sich das Amtshilfeersuchen vom 28. Mai 2021 stützt. Unter anderem ist in diesem Staatsvertrag die Leistung von Amtshilfe auf Ersuchen vorgesehen (Art. 5 Abs. 1 MAC).</w:t>
      </w:r>
    </w:p>
    <w:p>
      <w:r>
        <w:rPr>
          <w:b/>
        </w:rPr>
        <w:t>E. 3.1.1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3.1.2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Für die Ukraine ist das Übereinkommen am 1. September 2013 in Kraft getreten.</w:t>
      </w:r>
    </w:p>
    <w:p>
      <w:r>
        <w:rPr>
          <w:b/>
        </w:rPr>
        <w:t>E. 3.1.3</w:t>
      </w:r>
    </w:p>
    <w:p>
      <w:r>
        <w:t>Das Amtshilfeersuchen vom 28. Mai 2021 betrifft die Unternehmenssteuer und den Ermittlungszeitraum vom 1. Januar 2018 bis 31. Dezember 2019 (vgl. act. 1, S. 3). Es fällt demnach in den Anwendungsbereich von Art. 5 Abs. 1 MAC.</w:t>
      </w:r>
    </w:p>
    <w:p>
      <w:r>
        <w:rPr>
          <w:b/>
        </w:rPr>
        <w:t>E. 3.2.1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3.2.2</w:t>
      </w:r>
    </w:p>
    <w:p>
      <w:r>
        <w:t>Das Ersuchen vom 28. Mai 2021 erfüllt diese formellen Vor-aussetzungen. Etwas anderes wird auch von der Beschwerdeführerin nicht geltend gemacht.</w:t>
      </w:r>
    </w:p>
    <w:p>
      <w:r>
        <w:rPr>
          <w:b/>
        </w:rPr>
        <w:t>E. 3.3</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 des BVGer A-5383/2019 vom 24. November 2020 E. 2.4). Gleiches gilt für die vom ersuchenden Staat abgegebenen Erklärungen (BGE 142 II 218 E. 3.3; Urteile des BVGer A-2664/2020 vom 26. Januar 2021 E. 6.1.1 f., A-105/2020 vom 22. Januar 2021 E. 2.3.1, A-4228/2018 vom 26. August 2019 E. 2.2, vgl. zum Ganzen auch: Urteil des BVGer A-3576/2020 vom 1. März 2021 E. 2.2.5).</w:t>
      </w:r>
    </w:p>
    <w:p>
      <w:r>
        <w:rPr>
          <w:b/>
        </w:rPr>
        <w:t>E. 3.3.2</w:t>
      </w:r>
    </w:p>
    <w:p>
      <w:r>
        <w:t>Gemäss Art. 5 Abs. 1 i.V.m. Art. 4 Abs. 1 MAC tauschen die Vertragsparteien alle Informationen aus, die für die Anwendung beziehungsweise Durchsetzung ihres innerstaatlichen Rechts betreffend die unter dieses Übereinkommen fallenden Steuern voraussichtlich erheblich sind.</w:t>
      </w:r>
    </w:p>
    <w:p>
      <w:r>
        <w:rPr>
          <w:b/>
        </w:rPr>
        <w:t>E. 3.3.2.1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3.3.2.2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3.3.2.3</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2.3.3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Gemäss der bundesgerichtlichen Rechtsprechung hat der Begriff der «fishing expedition» einerseits einen verfahrensrechtlichen Charakter (ein Gesuch darf nicht zu Sondierungszwecken gestellt werden) und bildet andererseits auch eine materielle Schranke für den Informationsaustausch, indem die Amtshilfe dem ersuchenden Staat nicht erlauben darf, Informationen zu erhalten, die keinen ausreichend konkreten Bezug zum im Ersuchen geschilderten Sachverhalt haben (Urteile des BGer 2C_953/2020 vom 24. November 2021 E. 3.3, 2C_1662/2016 vom 4. Oktober 2017 E. 9.1.1 f.). Enthält ein Ersuchen alle Informationen, die gemäss dem anwendbaren Übereinkommen erforderlich sind, kann das Vorliegen einer «fishing expedition» grundsätzlich verneint werden (Urteil des BGer 2C_953/2020 vom 24. November 2021 E. 3.3; Urteil des BVGer A-5281/2021 vom 2. Mai 2022 E. 6.1).</w:t>
      </w:r>
    </w:p>
    <w:p>
      <w:r>
        <w:rPr>
          <w:b/>
        </w:rPr>
        <w:t>E. 3.4</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4</w:t>
      </w:r>
    </w:p>
    <w:p>
      <w:r>
        <w:t>Die Beschwerdeführerin beantragt im Hauptantrag, die Schlussverfügung sei aufzuheben und die Amtshilfe sei zu verweigern. Insbesondere rügt sie, die Informationen seien nicht voraussichtlich erheblich. Nachfolgend ist daher zu prüfen, ob die von der Vorinstanz edierten Informationen im in der Schlussverfügung definierten Umfang übermittelt werden dürfen.</w:t>
      </w:r>
    </w:p>
    <w:p>
      <w:r>
        <w:rPr>
          <w:b/>
        </w:rPr>
        <w:t>E. 4.1</w:t>
      </w:r>
    </w:p>
    <w:p>
      <w:r>
        <w:t>Die Beschwerdeführerin trägt zum Thema der voraussichtlichen Erheblichkeit vor, das Amtshilfeersuchen betreffe eine Verrechnungspreisprüfung, bei welcher nur sogenannte konzerninterne Transaktionen übermittelt werden dürften. Dabei handle es sich um konkrete Geschäftsvorfälle, möglichst einzelne Transaktionen oder ein Bündel von Transaktionen, nicht jedoch um den Gesamtgewinn eines Vermögens. Vorliegend habe die ersuchende Behörde den Verdacht geäussert, dass die betroffenen Personen 1 und 2 die Verrechnungspreiskontrolle umgehen würden. Entsprechend handle es sich gemäss den Ausführungen der ersuchenden Behörde bei ihr (der Beschwerdeführerin) und den betroffenen Personen 1 und 2 um verbundene Unternehmen und beim (...)import um einen konzerninternen Vorfall; eine sog. «controlled transaction». Die zu übermittelnden Unterlagen zeigten allerdings, dass dies nicht der Fall sei. Damit stehe fest, dass sie (die Beschwerdeführerin) nicht mit den betroffenen Personen 1 und 2 verbunden sei. In dieser Hinsicht sei das Amtshilfeersuchen damit widersprüchlich. Der Verdacht der ersuchenden Behörde habe sich bei Prüfung der zu übermittelnden Unterlagen nicht erhärtet. Dieser werde im Gegenteil entkräftet. Somit fehle es an der voraussichtlichen Erheblichkeit der zu übermittelnden Unterlagen. Anderenfalls läge eine fishing-expedition vor.</w:t>
      </w:r>
    </w:p>
    <w:p>
      <w:r>
        <w:rPr>
          <w:b/>
        </w:rPr>
        <w:t>E. 4.2</w:t>
      </w:r>
    </w:p>
    <w:p>
      <w:r>
        <w:t>Die Vorinstanz argumentiert, die ersuchende Behörde habe im Amtshilfeersuchen den Sachverhalt detailliert umschrieben. Es erfülle alle formellen Voraussetzungen. Auch erkläre die ersuchende Behörde, warum sie davon ausgehe, dass die Informationen, um die sie ersucht, für die Besteuerung der betroffenen Personen 1 und 2 voraussichtlich erheblich seien. Eine fishing expedition liege nicht vor. Mit dem vorliegenden Amtshilfeersuchen solle die Verrechnungspreiskontrolle und somit die Steuersituation der betroffenen Person 1 und 2 in der Ukraine überprüft werden. Die ersuchende Behörde benötige die Informationen zu den Eigentumsverhältnissen, Finanzberichten und Steuererklärungen der Beschwerdeführerin, um feststellen zu können, ob die vermutete Verbundenheit mit der Beschwerdeführerin vorliegt. Seitens der ESTV hätten zum Zeitpunkt des Eintretens auf das Amtshilfeersuchen weder offensichtliche Fehler, Lücken noch Widersprüche festgestellt werden können. Daraus folge, dass Transaktionen zwischen der betroffenen Person 1 und 2 und der Beschwerdeführerin als mögliche nahestehende Gesellschaft grundsätzlich unter einen Verrechnungspreis-Sachverhalt fallen und folglich die Überprüfung der Transaktionen legitim erscheine. Es sei nicht Sache von ihr (der Vorinstanz) zu beurteilen, ob die betroffene Person 1 und 2 und die Beschwerdeführerin tatsächlich verbundene Parteien seien. Eine solche Herangehensweise wäre im Kontext der internationalen Zusammenarbeit und mit Blick auf die Besonderheiten jedes nationalen Verfahrensrechts auch nicht haltbar. Die in diesem Kontext vorgebrachten Argumente der Beschwerdeführerin seien vielmehr in der Ukraine anlässlich des dort durchgeführten Erkenntnisverfahrens geltend zu machen.</w:t>
      </w:r>
    </w:p>
    <w:p>
      <w:r>
        <w:rPr>
          <w:b/>
        </w:rPr>
        <w:t>E. 4.3.1</w:t>
      </w:r>
    </w:p>
    <w:p>
      <w:r>
        <w:t>Wie bereits ausgeführt (E. 3.3.2.1 vorstehend), ist die voraussichtliche Erheblichkeit gegeben, wenn im Zeitpunkt der Einreichung des Amtshilfeersuchens eine vernünftige Möglichkeit besteht, dass sich die verlangten Informationen als erheblich erweisen werden. Ob eine Information tatsächlich erheblich ist, kann nur der ersuchende Staat abschliessend feststellen. Der ersuchte Staat beschränkt sich darauf, zu überprüfen, ob die verlangten Informationen einen Zusammenhang mit dem im Ersuchen dargestellten Sachverhalt haben und ob sie möglicherweise dazu geeignet sind, im ausländischen Verfahren verwendet zu werden. Vorliegend erläutert die ersuchende Behörde im Amtshilfeersuchen detailliert, weshalb die ersuchten Informationen relevant sind und stellt insbesondere eine plausible Vermutung auf, dass es sich bei der Beschwerdeführerin und den betroffenen Personen 1 und 2 um verbundene Unternehmen handeln könnte. Sie führt zudem aus, weshalb die Informationen im nationalen Steuerverfahren zu einem Erkenntnisgewinn beitragen können. Die ersuchende Behörde benötige die Informationen zu den Eigentumsverhältnissen, Finanzberichten und Steuererklärungen der Beschwerdeführerin, um feststellen zu können, ob die vermutete Verbundenheit vorliege bzw. für eine Verrechnungspreiskontrolle. Der ersuchte Staat hat gemäss völkerrechtlichem Vertrauensprinzip auf diese Schilderungen abzustellen. Auch die Tatsache, dass sich eine Vermutung allenfalls nicht erhärtet, ist eine wichtige Erkenntnis. Es ist dabei jedoch nicht am ersuchten Staat, darüber zu entscheiden und Informationen je nach Ergebnis zu übermitteln oder nicht. Bei der Beurteilung der voraussichtlichen Erheblichkeit ist auf den Zeitpunkt der Gesuchseinreichung abzustellen, wie die Vorinstanz zutreffend ausführt. Vorliegend weisen die begehrten Informationen einen Zusammenhang zu im ersuchenden Staat laufenden Abklärungen auf und sind geeignet, den Sachverhalt zu erhellen. Ob die Informationen schlussendlich (alle) tatsächlich erheblich sein werden, kann und muss indessen nicht geklärt werden. Das Erfordernis der voraussichtlichen Erheblichkeit bedingt nicht zwingend einen Informationsmehrwert im Vergleich zu den übrigen zu übermittelnden Informationen, sondern nur den genannten Zusammenhang zum im Amtshilfeersuchen dargestellten Sachverhalt. Deshalb hat die ersuchende Behörde auch keinen zusätzlichen Informationsmehrwert aufzuzeigen (Urteile des BVGer A-3939/2024 vom 6. November 2024 E. 3.3.1 und A-4830/2021 vom 23. Oktober 2023 E. 2.4.6). Die voraussichtliche Erheblichkeit ist daher vorliegend gegeben.</w:t>
      </w:r>
    </w:p>
    <w:p>
      <w:r>
        <w:rPr>
          <w:b/>
        </w:rPr>
        <w:t>E. 4.3.2</w:t>
      </w:r>
    </w:p>
    <w:p>
      <w:r>
        <w:t>Entgegen der Argumentation der Beschwerdeführerin enthält das Amtshilfeersuchen auch keine Widersprüche oder Fehler, die sofort entkräftet worden wären. Solche müssten sich aus dem Amtshilfeersuchen selbst ergeben. Vorliegend würde sich, der Argumentationslinie der Beschwerdeführerin folgend, erst nach Studium der edierten Informationen ergeben, dass sich der Verdacht der ersuchenden Behörde mutmasslich nicht erhärtet. In dieser Konstellation hat die ersuchende Behörde indessen, wie vorstehend aufgezeigt, ein legitimes Informationsbedürfnis und die behaupteten Widersprüche ergeben sich gerade nicht aus dem Ersuchen selbst. Aus diesem Grund steht auch dieses Argument der Beschwerdeführerin der Gewährung der Amtshilfe nicht entgegen.</w:t>
      </w:r>
    </w:p>
    <w:p>
      <w:r>
        <w:rPr>
          <w:b/>
        </w:rPr>
        <w:t>E. 4.3.3</w:t>
      </w:r>
    </w:p>
    <w:p>
      <w:r>
        <w:t>Letztlich liegt entgegen den Ausführungen der Beschwerdeführerin auch keine fishing expedition vor. In einem Fall, in dem - wie hier - ein Amtshilfeersuchen alle formellen Voraussetzungen erfüllt und es nachvollziehbare und plausible Sachverhaltserläuterungen enthält, kann der konstanten bundesgerichtlichen Rechtsprechung folgend keine fishing expedition vorliegen (vgl. E. 3.3.2.3 vorstehend).</w:t>
      </w:r>
    </w:p>
    <w:p>
      <w:r>
        <w:rPr>
          <w:b/>
        </w:rPr>
        <w:t>E. 4.3.4</w:t>
      </w:r>
    </w:p>
    <w:p>
      <w:r>
        <w:t>Im Ergebnis ist die voraussichtliche Erheblichkeit für die ersuchten Informationen somit gegeben.</w:t>
      </w:r>
    </w:p>
    <w:p>
      <w:r>
        <w:rPr>
          <w:b/>
        </w:rPr>
        <w:t>E. 4.4</w:t>
      </w:r>
    </w:p>
    <w:p>
      <w:r>
        <w:t>Im Eventualantrag beantragt die Beschwerdeführerin die Schwärzung diverser Namen und Firmen im Anhang 3 («enclosure 3») der zur Übermittlung vorgesehenen Informationen.</w:t>
      </w:r>
    </w:p>
    <w:p>
      <w:r>
        <w:rPr>
          <w:b/>
        </w:rPr>
        <w:t>E. 4.4.1</w:t>
      </w:r>
    </w:p>
    <w:p>
      <w:r>
        <w:t>Die Beschwerdeführerin führt aus, es müssten zumindest Schwärzung vorgenommen werden von Namen von Drittpersonen, die in ihren Bilanzen und Jahresrechnungen für die Jahre 2018 und 2019 erschienen und mit dem Amtshilfeersuchen in keinem Zusammenhang stünden. Die Vorinstanz habe es unterlassen, auf die konkreten Informationen über die unbeteiligten Drittpersonen einzugehen und zu erläutern, inwiefern eine Übermittlung der Informationen verhältnismässig sei. Die Namen der genannten Drittpersonen in «enclosure 03» seien für eine allfällige Verrechnungspreisprüfung bei den betroffenen Personen 1 und 2 offensichtlich irrelevant. Somit könnte eine allfällige Verrechnungspreisprüfung anhand der zu übermittelnden Unterlagen ohne Weiteres vorgenommen werden, ohne dass die Namen von unbeteiligten Dritten bekannt gegeben werden. Die zugrundeliegenden Interessen der genannten Drittpersonen beträfen insbesondere den Datenschutz und den Schutz von Geschäftsgeheimnissen. Dabei liege die Schwärzung nicht nur im Interesse dieser Drittpersonen, sondern auch in ihrem Interesse - so die Beschwerdeführerin. Es handele sich dabei nämlich um Namen ihrer Geschäftspartner. Würden diese Namen an die ukrainischen Steuerbehörden übermittelt, sei sie (die Beschwerdeführerin) gegebenenfalls vertraglich verpflichtet, dies gegenüber ihren Geschäftspartnern offenzulegen, was die Geschäftsbeziehung negativ beeinflussen könne.</w:t>
      </w:r>
    </w:p>
    <w:p>
      <w:r>
        <w:rPr>
          <w:b/>
        </w:rPr>
        <w:t>E. 4.4.2</w:t>
      </w:r>
    </w:p>
    <w:p>
      <w:r>
        <w:t>Die Vorinstanz hält dieser Argumentation entgegen, selbst wenn auf das Schwärzungsbegehren eingetreten werden könne, sei dieses abzuweisen. Die ersuchende Behörde benötige die Informationen zu den Eigentumsverhältnissen, Finanzberichten und Steuererklärungen der Beschwerdeführerin, um feststellen zu können, ob die vermutete Verbundenheit der betroffenen Person 1 und 2 und der Beschwerdeführerin vorliege und um daraufhin die Vergleichskontrolle der zur Diskussion stehenden Leistungen vornehmen zu können. Die beantragten Schwärzungen beträfen Namen von Gesellschaften, mit denen die Beschwerdeführerin geschäftliche Beziehungen pflege, weshalb diese Informationen zur Klärung des steuerlich erheblichen Sachverhalts beitragen könne. Diese Namen tauchten daher auch nicht rein zufällig in den edierten Informationen auf. Die voraussichtliche Erheblichkeit dieser Informationen könne jedenfalls nicht ausgeschlossen werden, weshalb die Daten ungeschwärzt zu übermitteln seien.</w:t>
      </w:r>
    </w:p>
    <w:p>
      <w:r>
        <w:rPr>
          <w:b/>
        </w:rPr>
        <w:t>E. 4.4.3.1</w:t>
      </w:r>
    </w:p>
    <w:p>
      <w:r>
        <w:t>Auf Rechtsmittel, welche stellvertretend für Dritte bzw. in deren Interesse erhoben werden, ist gemäss bundesgerichtlicher Rechtsprechung nicht einzutreten (BGE 139 II 404 E. 11.1 und 137 IV 134 E. 5.2.2; Urteil des BVGer A-6928/2019 vom 13. Dezember 2021 E. 1.4.3 m.w.H.). Die Beschwerdeführerin macht geltend, sie habe auch ein eigenes Interesse an der Schwärzung, da eine Übermittlung der Informationen die Geschäftsbeziehungen mit den betroffenen Unternehmen belasten könnte. Diesbezüglich sind die Vorbringen der Beschwerdeführerin aber nicht hinreichend substantiiert. Sie spricht davon, dass sie bei Übermittlung der Namen «gegebenenfalls» vertraglich verpflichtet sei, die betroffenen Unternehmen darüber zu informieren, zum anderen führt sie aus, dies «kann» Geschäftsbeziehungen negativ beeinflussen. Sie bleibt damit insofern vage und macht nicht geltend, welche Geschäftsbeziehung in welcher Form und mit welchem Ergebnis von einer Übermittlung betroffen wären. Soweit ersichtlich betreffen die Schwärzungsbegehren damit lediglich Drittinteressen. Auf im Interesse von Dritten gestellte Anträge um Schwärzung von Informationen ist rechtsprechungsgemäss nicht einzutreten (vgl. BGE 143 II 506 E. 5.1; Urteil des BGer 2C_1037/2019 vom 27. August 2020 E. 6.2 [nicht publiziert in BGE 147 II 116];; Urteil des BVGer A-3961/2022 vom 8. April 2024 E. 1.4.2 m.w.H. [das BGer ist mit Entscheid 2C_208/2024 vom 8. Mai 2024 auf die Beschwerde nicht eingetreten]).</w:t>
      </w:r>
    </w:p>
    <w:p>
      <w:r>
        <w:rPr>
          <w:b/>
        </w:rPr>
        <w:t>E. 4.4.3.2</w:t>
      </w:r>
    </w:p>
    <w:p>
      <w:r>
        <w:t>Selbst wenn auf den Antrag betreffend Schwärzung vorliegend einzutreten wäre, so müsste dieser abgewiesen werden. Wie die Vorinstanz zutreffend ausführt, handelt es sich bei den vom Schwärzungsantrag betroffenen Stellen um Namen und Firmen von Personen und Unternehmen, die mit der Beschwerdeführerin in geschäftlichen Beziehungen standen. Gerade diese Verbindungen können für die ersuchende Behörde relevant sein, um den dargestellten Sachverhalt zu überprüfen und das vermutete Konstrukt der behaupteten Umgehung der Preiskontrollen zu verifizieren. Es handelt sich folglich auch nicht um Namen, die rein zufällig in den edierten Informationen erscheinen (vgl. dazu auch E. 3.4 vorstehend). Damit handelt es sich um voraussichtlich erhebliche Informationen (vgl. E. 4.3 vorstehend). Eine Schwärzung ist mithin ausgeschlossen.</w:t>
      </w:r>
    </w:p>
    <w:p>
      <w:r>
        <w:rPr>
          <w:b/>
        </w:rPr>
        <w:t>E. 4.5</w:t>
      </w:r>
    </w:p>
    <w:p>
      <w:r>
        <w:t>Damit ist die Beschwerde insgesamt vollumfänglich abzuweisen, soweit darauf einzutreten ist.</w:t>
      </w:r>
    </w:p>
    <w:p>
      <w:r>
        <w:rPr>
          <w:b/>
        </w:rPr>
        <w:t>E. 5</w:t>
      </w:r>
    </w:p>
    <w:p>
      <w:r>
        <w:t>Der mit der Beschwerde gestellte Antrag auf Sistierung des Verfahrens bis die von der Schlussverfügung betroffenen «unbeteiligten Drittpersonen» H._______ Ltd. und I._______ Limited gegen die ihnen gegenüber zu eröffnende Schlussverfügung Beschwerde erheben konnten, ist abzuweisen. Diese Gesellschaften hätten die Schlussverfügung vom 11. Dezember 2023 selbst anfechten oder eine eigene Schlussverfügung erwirken können, was sie indessen nicht taten (vgl. Zwischenverfügung im vorliegenden Verfahren vom 27. Juni 2024, S. 4, mit weiteren Ausführungen). Die Beschwerdeführerin machte denn auch im Rahmen der Stellungnahme vom 9. August 2024 kein Interesse an einer Sistierung (mehr) geltend.</w:t>
      </w:r>
    </w:p>
    <w:p>
      <w:r>
        <w:rPr>
          <w:b/>
        </w:rPr>
        <w:t>E. 6.1</w:t>
      </w:r>
    </w:p>
    <w:p>
      <w:r>
        <w:t>Ausgangsgemäss hat die Beschwerdeführerin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Der unterliegenden Beschwerdeführerin ist keine Parteientschädigung zuzusprechen (vgl. Art. 64 Abs. 1 VwVG e contrario und Art. 7 Abs. 1 VGKE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