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A-742/2022 vom 3. April 2023</w:t>
      </w:r>
    </w:p>
    <w:p>
      <w:r>
        <w:t>Bundesverwaltungsgericht, 2023-04-03, DE</w:t>
      </w:r>
    </w:p>
    <w:p>
      <w:r>
        <w:rPr>
          <w:b/>
        </w:rPr>
        <w:t xml:space="preserve">Quelle: </w:t>
      </w:r>
      <w:r>
        <w:t>https://mcp.opencaselaw.ch/entscheid/bvger_A-742_2022</w:t>
      </w:r>
    </w:p>
    <w:p>
      <w:r>
        <w:t>FR: TAF A-742/2022 du 3 avril 2023</w:t>
      </w:r>
    </w:p>
    <w:p>
      <w:r>
        <w:t>IT: TAF A-742/2022 del 3 aprile 2023</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CH-PT richtet sich nach dem Bundesgesetz vom 28. September 2012 über die internationale Amtshilfe in Steuersachen (StAhiG, SR 651.1). Allenfalls abweichende Bestimmungen des vorliegend anwendbaren DBA CH-PT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 ist als Verfügungsadressatin gemäss Art. 48 Abs. 1 VwVG zur Beschwerde legitimiert.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Staatsvertragliche Grundlage für die Leistung von Amtshilfe in Steuersachen gegenüber Portugal sind Art. 25bis DBA CH-PT sowie Ziff. 10 des dazugehörigen Zusatzprotokolls vom 26. September 1974 (nachfolgend: Zusatzprotokoll) jeweils in der geltenden Fassung gemäss Art. XV und XVII Ziff. 7 des Protokolls vom 25. Juni 2012 zur Änderung des Abkommens zwischen der Schweiz und Portugal zur Vermeidung der Doppelbesteuerung auf dem Gebiete der Steuern vom Einkommen und vom Vermögen sowie des entsprechenden Zusatzprotokolls, unterzeichnet am 26. September 1974 in Bern (in Kraft seit 21. Oktober 2013, AS 2013 3573, 3580 ff.). Gemäss Art. 25bis Abs. 1 DBA CH-PT tauschen die zuständigen Behörden 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ist dabei durch die Art. 1 DBA CH-PT (persönlicher Geltungsbereich) nicht eingeschränkt.</w:t>
      </w:r>
    </w:p>
    <w:p>
      <w:r>
        <w:rPr>
          <w:b/>
        </w:rPr>
        <w:t>E. 2.2</w:t>
      </w:r>
    </w:p>
    <w:p>
      <w:r>
        <w:t>Was die formellen Voraussetzungen betrifft, die ein Amtshilfeersuchen erfüllen muss, besteht nach Ziff. 10 Bst. b Abs. 1 des Zusatzprotokolls Einvernehmen darüber, dass die Steuerbehörden des ersuchenden Staates bei der Stellung eines Amtshilfebegehrens nach Art. 25bis DBA CH-PT den Steuerbehörden des ersuchten Staates die nachstehenden Angaben zu liefern haben: (i)die Identität der in eine Prüfung oder Untersuchung einbezogenen Person; (ii)die Zeitperiode, für welche die Informationen verlangt werden; (iii) die Beschreibung der verlangten Informationen sowie Angaben hinsichtlich ihrer Natur und der Form, in der der ersuchende Staat diese Informationen vom ersuchten Staat zu erhalten wünscht; (iv)den Steuerzweck, für den die Informationen verlangt werden; (v)soweit bekannt, Namen und Adresse der mutmasslichen Inhaber der verlangten Informationen.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A-3221/2018 vom 6. April 2022 E. 4.2; zur voraussichtlichen Erheblichkeit: nachfolgend E. 2.3).</w:t>
      </w:r>
    </w:p>
    <w:p>
      <w:r>
        <w:rPr>
          <w:b/>
        </w:rPr>
        <w:t>E. 2.3.1</w:t>
      </w:r>
    </w:p>
    <w:p>
      <w:r>
        <w:t>Art. 25bis Abs. 1 DBA CH-PT bestimmt, dass Informationen ausgetauscht werden, wenn sie zur Durchführung des Abkommens oder zur Anwendung oder Durchsetzung des innerstaatlichen Rechts voraussichtlich erheblich sind (E. 2.1).</w:t>
      </w:r>
    </w:p>
    <w:p>
      <w:r>
        <w:rPr>
          <w:b/>
        </w:rPr>
        <w:t>E. 2.3.2</w:t>
      </w:r>
    </w:p>
    <w:p>
      <w:r>
        <w:t>Ziff. 10 Bst. b des Zusatzprotokolls präzisiert in seinem zweiten Absatz, dass der Zweck der Verweisung auf Informationen, die voraussichtlich erheblich sind, darin besteht,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Buchstabe b von Ziff. 10 des Zusatzprotokolls enthält in seinem ersten Absatz zwar wichtige verfahrenstechnische Anforderungen, die «fishing expeditions» vermeiden sollen, seine Unterabsätze (i) bis (v) sind jedoch so auszulegen, dass sie einen wirksamen Informationsaustausch nicht behindern.</w:t>
      </w:r>
    </w:p>
    <w:p>
      <w:r>
        <w:rPr>
          <w:b/>
        </w:rPr>
        <w:t>E. 2.3.3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2.3.4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2.3.5</w:t>
      </w:r>
    </w:p>
    <w:p>
      <w:r>
        <w:t>Was die voraussichtliche Erheblichkeit von Jahresrechnungen (insbesondere Bilanz und Erfolgsrechnung) betrifft, so hat das Bundesgericht diese zumindest dann, wenn es dem ersuchenden Staat um die Kontrolle von Verrechnungspreisen geht, bejaht (BGE 143 II 185 E. 4.2 f.). In jenem Verfahren ersuchte die zuständige französische Behörde die ESTV um Amtshilfe, wobei die ersuchende Behörde unter anderem die Bilanzen und Erfolgsrechnungen von schweizerischen Gesellschaften erbat, um verschiedene französische Gesellschaften und Zweigniederlassungen der schweizerischen Gesellschaften in Frankreich korrekt besteuern zu können. Dabei ging die französische Behörde davon aus, dass alle Gesellschaften zu einer Gruppe gehörten, welche reorganisiert worden sei (BGE 143 II 185 Sachverhalt Bst. A). Das Bundesgericht hielt hier fest, auch Gewinne von einzelnen Konzerngesellschaften könnten sich als relevant erweisen, um Gewinnverschiebungen innerhalb des Konzerns zu überprüfen. Diese Gewinnverschiebungen könnten sich wiederum auf die Verrechnungspreispolitik des Konzerns auswirken (BGE 143 II 185 E. 4.2). Dies gelte umso mehr für Erfolgsrechnungen, welchen die Einzelheiten der Gewinnerzielung, nämlich welche Erträge verbucht und welche Aufwände erfasst wurden, zu entnehmen seien (BGE 143 II 185 E. 4.3).</w:t>
      </w:r>
    </w:p>
    <w:p>
      <w:r>
        <w:rPr>
          <w:b/>
        </w:rPr>
        <w:t>E. 2.3.6</w:t>
      </w:r>
    </w:p>
    <w:p>
      <w:r>
        <w:t>Die OECD (Organisation für wirtschaftliche Zusammenarbeit und Entwicklung) hat Leitlinien zur Bestimmung angemessener Verrechnungspreise in internationalen Konzernen erlassen (OECD-Verrechnungspreisleitlinien für multinationale Unternehmen und Steuerverwaltungen vom 22. Juli 2010; zu finden unter http://dx.doi.org/10.1787/9789264125483-de; abgerufen am 20. März 2023). Diese sind für das Bundesverwaltungsgericht nicht bindend (so auch Fabian Duss, Grenzüberschreitende Leistungsbeziehungen im Konzern, in: IFF Forum für Steuerrecht 2015, S. 103 ff., S. 110; vgl. auch den Disclaimer auf S. 2 der OECD-Verrechnungspreisleitlinien selbst).</w:t>
      </w:r>
    </w:p>
    <w:p>
      <w:r>
        <w:rPr>
          <w:b/>
        </w:rPr>
        <w:t>E. 2.4</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w:t>
      </w:r>
    </w:p>
    <w:p>
      <w:r>
        <w:rPr>
          <w:b/>
        </w:rPr>
        <w:t>E. 3.1.1</w:t>
      </w:r>
    </w:p>
    <w:p>
      <w:r>
        <w:t>Das vorliegend zu beurteilende Amtshilfeersuchen erfüllt die an ein solches gestellten formellen Anforderungen (E. 2.2). Allerdings macht die Beschwerdeführerin geltend, es liege eine so genannte «fishing expedition» vor.</w:t>
      </w:r>
    </w:p>
    <w:p>
      <w:r>
        <w:rPr>
          <w:b/>
        </w:rPr>
        <w:t>E. 3.1.2</w:t>
      </w:r>
    </w:p>
    <w:p>
      <w:r>
        <w:t>Wie gerade festgehalten, erfüllt das Amtshilfeersuchen die formellen Anforderungen, welche «fishing expeditions» verhindern sollen. Das Ersuchen ist auf einen konkreten Sachverhalt bezogen, der recht detailliert beschrieben ist. Auch erklärt die ersuchende Behörde, warum sie davon ausgeht, dass die Informationen, um die sie ersucht, für die Besteuerung der portugiesischen Gesellschaft voraussichtlich erheblich sind. Von einer «fishing expedition» oder einer Anfrage aufs Geratewohl kann keine Rede sein. Soweit die Beschwerdeführerin geltend macht, es liege eine «fishing expedition» vor, weil die Informationen, um die ersucht werde, nicht voraussichtlich erheblich seien, ist dieses Vorbringen unter dem Titel der voraussichtlichen Erheblichkeit der entsprechenden Informationen zu prüfen (gleich nachfolgend E. 3.2).</w:t>
      </w:r>
    </w:p>
    <w:p>
      <w:r>
        <w:rPr>
          <w:b/>
        </w:rPr>
        <w:t>E. 3.2</w:t>
      </w:r>
    </w:p>
    <w:p>
      <w:r>
        <w:t>Im Folgenden ist zu prüfen, ob die Unterlagen, um deren Übermittlung ersucht wird, für den im Amtshilfeersuchen genannten Steuerzweck erheblich sein können.</w:t>
      </w:r>
    </w:p>
    <w:p>
      <w:r>
        <w:rPr>
          <w:b/>
        </w:rPr>
        <w:t>E. 3.2.1</w:t>
      </w:r>
    </w:p>
    <w:p>
      <w:r>
        <w:t>Vorab ist dazu festzuhalten, dass die ersuchende Behörde nicht geltend gemacht hat, die Verrechnungspreispolitik der portugiesischen Gesellschaft werde nach der Nettomargenmethode festgestellt; die ersuchende Behörde hat lediglich erklärt, dass die portugiesische Gesellschaft diese Methode angewendet habe, was sie (die ersuchende Behörde) überprüfen wolle. Sie hat nie behauptet, selbst diese Methode anwenden zu wollen. Ohnehin sind die Verrechnungspreisleitlinien der OECD nicht bindend (E. 2.3.6). Nicht weiter einzugehen ist daher auf das Argument der Beschwerdeführerin, die verlangten Informationen könnten für die Anwendung der Nettomargenmethode nicht voraussichtlich erheblich sein. Auch muss die ersuchende Behörde im Amtshilfeersuchen nicht darlegen, welche Methode sie zur Festsetzung der Verrechnungspreise anwenden möchte, dienen doch die Informationen, um die ersucht wird, möglicherweise erst der Entscheidung, welche Methode sich als angemessen erweist.</w:t>
      </w:r>
    </w:p>
    <w:p>
      <w:r>
        <w:rPr>
          <w:b/>
        </w:rPr>
        <w:t>E. 3.2.2</w:t>
      </w:r>
    </w:p>
    <w:p>
      <w:r>
        <w:t>Die Beschwerdeführerin macht weiter geltend, die voraussichtliche Erheblichkeit der Informationen sei im Verlauf des Verfahrens weggefallen, hätte doch die portugiesische Behörde die Steuerprüfungen der portugiesischen Gesellschaft für die vom Amtshilfeersuchen umfassten Steuerperioden abgeschlossen. Auf Anfrage der Vorinstanz hat die DSRI bestätigt, dass sie die erfragten Informationen immer noch als voraussichtlich erheblich erachtet. Auf diese Aussage der ersuchenden Behörde ist hier zu vertrauen, auch wenn die Behörde ihre Aussage nicht weiter begründet. Eine entsprechende Begründung muss auch daher nicht verlangt werden, weil eine abgeschlossene Steuerprüfung nicht bedeutet, dass eine definitive Steuerveranlagung vorliegt, auf die nicht mehr zurückgekommen werden könnte. Daher bestehen an dieser Aussage der DSRI keine begründeten Zweifel. Das Bundesgericht hat gar in einem Verfahren, in dem die ersuchende Behörde selbst festgehalten hatte, das Steuerverfahren sei abgeschlossen, entschieden, dass an deren Aussage, die Informationen seien weiterhin, nämlich sowohl im (Steuer-)Strafverfahren als auch in anderen Verfahren betreffend das Einkommenssteuergesetz von Nutzen, nicht zu zweifeln sei (Urteil des BGer 2C_542/2018 vom 10. März 2021 Sachverhalt Bst. B sowie E. 1.4 [aus der hervorgeht, dass auch das BGer von einem abgeschlossenen Veranlagungsverfahren ausging] und E. 2.5 ff.).</w:t>
      </w:r>
    </w:p>
    <w:p>
      <w:r>
        <w:rPr>
          <w:b/>
        </w:rPr>
        <w:t>E. 3.2.3</w:t>
      </w:r>
    </w:p>
    <w:p>
      <w:r>
        <w:t>Weiter macht die Beschwerdeführerin geltend, die Verjährung sei eingetreten. Gestützt auf ein Gutachten zum portugiesischen Recht führt sie aus, im vorliegenden Fall könne die Sonderbestimmung des Verjährungsstillstands (dazu Sachverhalt Bst. C.c) nicht greifen. Bei der Frage der Verjährung handelt es sich um eine solche des innerstaatlichen Rechts des ersuchenden Staates, welcher im dortigen Verfahren geltend zu machen ist (Urteils des BGer 2C_802/2022 vom 11. Oktober 2022 E. 2.4, 2C_774/2022 vom 27. September 2022 E. 2.3). Zudem hat das Bundesgericht festgehalten, dass entscheidend ist, ob die Steuerforderung bereits im Zeitpunkt, in dem das Amtshilfeersuchen gestellt wurde, verjährt war (Urteil des BGer 2C_662/2021 und 2C_663/2021 vom 18. März 2022 E. 5.5.3.2 f.). Dafür gibt es vorliegend keine Anhaltspunkte. Damit verfängt dieses Argument der Beschwerdeführerin nicht. Auf das von ihr eingereichte Gutachten ist schon aus diesen Gründen nicht weiter einzugehen.</w:t>
      </w:r>
    </w:p>
    <w:p>
      <w:r>
        <w:rPr>
          <w:b/>
        </w:rPr>
        <w:t>E. 3.2.4</w:t>
      </w:r>
    </w:p>
    <w:p>
      <w:r>
        <w:t>Schliesslich sei noch angemerkt, dass der Umstand, dass sich die Vorinstanz nicht mit jedem Detail der Argumentation der Beschwerdeführerin auseinandergesetzt hat, nicht dazu führt, dass sie diese anerkannt hätte. Steht beispielsweise, wie hier, fest, dass auf die Aussage der ersuchenden Behörde, sie erachte die Informationen weiterhin als voraussichtlich erheblich, zu vertrauen ist, erübrigt sich eine detaillierte Auseinandersetzung mit den Argumenten der Beschwerdeführerin, warum dies nicht der Fall sein soll.</w:t>
      </w:r>
    </w:p>
    <w:p>
      <w:r>
        <w:rPr>
          <w:b/>
        </w:rPr>
        <w:t>E. 3.3</w:t>
      </w:r>
    </w:p>
    <w:p>
      <w:r>
        <w:t>Nachdem die von der Beschwerdeführerin allgemein gegen die voraussichtliche Erheblichkeit der Informationen vorgebrachten Argumente nicht verfangen, ist auf ihre Vorbringen betreffend die einzelnen Antworten, welche die Vorinstanz der DSRI auf deren Fragen geben möchte, einzugehen.</w:t>
      </w:r>
    </w:p>
    <w:p>
      <w:r>
        <w:rPr>
          <w:b/>
        </w:rPr>
        <w:t>E. 3.3.1</w:t>
      </w:r>
    </w:p>
    <w:p>
      <w:r>
        <w:t>Die Vorinstanz hat verfügt, der DSRI seien die Jahresrechnungen der Beschwerdeführerin (Bilanz, Erfolgsrechnung und Anmerkungen) zu übermitteln (Antwort auf Frage 1). Wie oben festgehalten (E. 2.3.5) können diese Informationen grundsätzlich in Verfahren betreffend Verrechnungspreise voraussichtlich erheblich sein. Was die Beschwerdeführerin diesbezüglich betreffend die Anwendung der Nettomargenmethode vorbringt, verfängt, wie ebenfalls festgehalten (E. 3.2.1), nicht. Zu Recht hält die Beschwerdeführerin zwar fest, dass sich diesen Jahresrechnungen keine separaten Spartenrechnungen entnehmen lassen; ob die ersuchende Behörde aber tatsächlich keine Rückschlüsse auf die steuerliche Situation der portugiesischen Gesellschaft ziehen kann, ist dieser Behörde zu überlassen. Auch dieses Vorbringen macht die Beschwerdeführerin zudem mit Bezug auf die Anwendung der Nettomargenmethode, weshalb darauf nicht weiter einzugehen ist. Damit ist die Übermittlung der Jahresrechnungen der Beschwerdeführerin nicht zu beanstanden.</w:t>
      </w:r>
    </w:p>
    <w:p>
      <w:r>
        <w:rPr>
          <w:b/>
        </w:rPr>
        <w:t>E. 3.3.2</w:t>
      </w:r>
    </w:p>
    <w:p>
      <w:r>
        <w:t>Weiter möchte die Vorinstanz die angewendeten Steuersätze sowie die Höhe der tatsächlich entrichteten Steuern sowohl auf Bundesebene als auch auf kantonaler und kommunaler Ebene der DSRI übermitteln. Auch sollen Angaben zum Steuerregime, dem die Beschwerdeführerin unterstand und allfälligen Steuerabzügen übermittelt werden (Antworten auf die Fragen 2-4). Die Beschwerdeführerin bringt mit Verweis auf BGE 143 II 185 E. 4.4 vor, diese Informationen dürften nur übermittelt werden, wenn sie nach innerstaatlichem Recht des ersuchenden Staates zur Bestimmung der Beweislastverteilung benötigt würden. Tatsächlich hat das Bundesgericht im genannten Urteil den Umstand, dass die Informationen einen direkten Einfluss auf die Beweislastverteilung im ersuchenden Staat haben, als Grund für deren Übermittlung angegeben. Dem ist allerdings hinzuzufügen, dass, um zu beurteilen, ob die Unterlagen der Beweislastverteilung gemäss dem (Verfahrens-)Recht des ersuchenden Staates dienen können, dieses innerstaatliche Recht geprüft werden müsste, was gerade nicht im Amtshilfeverfahren zu geschehen hat (BGE 144 II 206 E. 4.3; Urteil des BGer 2C_662/2021 vom 18. März 2022 E. 1.2.3). Der Umstand, dass im Verfahren, welches BGE 143 II 185 zugrunde lag, diese innerstaatlichen Bestimmungen explizit genannt worden waren, führt nicht dazu, dass die ersuchende Behörde in jedem Fall detailliert aufzuzeigen hätte, wofür sie die Informationen benötigt. Es genügt, dass die Informationen einen Zusammenhang mit dem im Amtshilfeersuchen dargestellten Sachverhalt und dem Besteuerungszweck haben. Dieser Zusammenhang ist gemeint, wenn die Rechtsprechung festhält, die voraussichtliche Erheblichkeit müsse sich aus dem Amtshilfeersuchen selbst ergeben. Nicht erforderlich ist, dass die ersuchende Behörde für jede verlangte Information einzeln aufzeigt, wie sie diese zu verwenden gedenkt. Wie BGE 143 II 185 E. 4.4 zeigt, können durchaus Bestimmungen im innerstaatlichen Recht des ersuchenden Staates bestehen, die einen solchen Sachzusammenhang nahelegen. Dass die ersuchende Behörde Bestimmungen des schweizerischen Steuerrechts erwähnt und dann explizit nach diesen Informationen (Steuersatz, Steuerregime, Steuerabzüge) fragt, zeigt, dass sie sich mit der Frage der voraussichtlichen Erheblichkeit dieser Informationen beschäftigt hat und zum Schluss kam, diese Informationen erfüllten dieses Kriterium. Schliesslich hat das Bundesgericht im Urteil 2C_282/2021 vom 15. Juni 2022 festgehalten, dass gar Steuerklärungen - zumindest in Verfahren, in denen es um die Abklärung von Verrechnungspreisen geht - übermittelt werden dürfen (E. 4.4.2-4.5 des genannten bundesgerichtlichen Urteils). Die Übermittlung von Angaben zu den angewendeten Steuersätzen, den tatsächlich entrichteten Steuern, dem Steuerregime und Steuerabzügen erweist sich auch unter diesem Aspekt als angebracht. In einem weiteren Urteil hat das Bundesgericht zudem entschieden, dass - wiederum zumindest in Verfahren betreffend Verrechnungspreise - auch Steuerveranlagungen auszutauschen sind. Auch hielt das Bundesgericht fest, dass das Bundesverwaltungsgericht nicht zu prüfen habe, was mit den Steuerveranlagungen bewiesen werden sollte (Urteil des BGer 2C_455/2021 vom 31. Mai 2022 E. 4.3.2 f. und 4.5). Zumindest im letztgenannten Urteil des Bundesgerichts ging es um das Amtshilfeersuchen eines Staates, der keine spezielle Beweislastregel kannte (Urteil des BGer 2C_455/2021 vom 31. Mai 2022 E. 1.2 insb. E. 1.2.2). Im Übrigen mag es durchaus sein, dass die gezahlten Steuern solche umfassen können, die sich auf verschiedene Steuerarten oder mehrere Steuerzeiträume beziehen, so Vorauszahlungen. Was die Steuerarten anbelangt, hat die kantonale Steuerverwaltung [...] diese jedoch detailliert aufgeschlüsselt. Es findet sich gar ein Hinweis auf die in der Tabelle noch nicht enthaltene Kirchensteuer. Auch die Zeiträume, für welche diese Steuern angefallen sind, sind in der Aufstellung, die die Vorinstanz der DSRI übermitteln will, eindeutig definiert. Die genannten Informationen sind der DSRI grundsätzlich zu übermitteln (zum Schwärzungsantrag der Beschwerdeführerin betreffend Informationen zum Geschäftsjahr 2014/2015: E. 3.4.1).</w:t>
      </w:r>
    </w:p>
    <w:p>
      <w:r>
        <w:rPr>
          <w:b/>
        </w:rPr>
        <w:t>E. 3.3.3</w:t>
      </w:r>
    </w:p>
    <w:p>
      <w:r>
        <w:t>In Bezug auf die Frage nach der Verrechnungspreisdokumentation der Beschwerdeführerin (Frage 5) möchte die Vorinstanz nur mitteilen, dass die Beschwerdeführerin nicht verpflichtet ist, eine solche zu erstellen, weshalb sie nicht über eine solche verfüge. Da hier keine eigentlichen Informationen ausgetauscht werden, erübrigen sich nach Auffassung der Beschwerdeführerin weitere Ausführungen zu diesem Punkt. Dem schliesst sich das Bundesverwaltungsgericht an. Die Antwort der Vorinstanz auf Frage 5 ist zu übermitteln.</w:t>
      </w:r>
    </w:p>
    <w:p>
      <w:r>
        <w:rPr>
          <w:b/>
        </w:rPr>
        <w:t>E. 3.3.4</w:t>
      </w:r>
    </w:p>
    <w:p>
      <w:r>
        <w:t>Die Beschwerdeführerin hält bezüglich der Frage, ob für verbundene und nicht verbundene Lieferanten dieselben Vertragsbedingungen herrschten (Frage 6) fest, die Antworten auf diese Frage dürften übermittelt werden, wenn dem Ersuchen trotz Abschluss der Steuerprüfungen stattgegeben würde. Dass Letzteres der Fall ist, wurde oben bereits festgehalten (E. 3.2.2). Weitere Äusserungen zur Antwort auf die Frage 6 erübrigen sich damit. Die Antwort ist zu übermitteln.</w:t>
      </w:r>
    </w:p>
    <w:p>
      <w:r>
        <w:rPr>
          <w:b/>
        </w:rPr>
        <w:t>E. 3.3.5</w:t>
      </w:r>
    </w:p>
    <w:p>
      <w:r>
        <w:t>Frage 7 Bst. a und b befassen sich mit den Angestellten der Beschwerdeführerin. Die Vorinstanz möchte die Zahl der Angestellten in den vom Amtshilfeersuchen betroffenen Jahren übermitteln sowie Angaben dazu machen, in welchen Ländern Angestellte der Beschwerdeführerin tätig waren. Weiter möchte sie mitteilen, dass keine Angestellten «ausgeliehen» wurden. Die Beschwerdeführerin hält dazu fest, diese Art von Informationen könne rechtsprechungsgemäss unter Umständen, aber nicht per se voraussichtlich erheblich sein. Im vorliegenden Kontext sei auch absurd, wenn die Vorinstanz darauf hinweise, dass die ersuchten Informationen benötigt werden könnten, um zu prüfen, ob es sich bei ihr (der Beschwerdeführerin) um eine «Briefkastenfirma» handle. In Bezug auf die Überprüfung der Verrechnungspreise bzw. für die Anwendung der Nettomargenmethode könnten die Informationen nicht als voraussichtlich erheblich betrachtet werden. Sofern sich die Beschwerdeführerin auf die Nettomargenmethode bezieht, ist darauf nicht weiter einzugehen (E. 3.2.1). Im Übrigen hat das Bundesverwaltungsgericht erkannt, dass diese Art von Informationen auch für die Überprüfung von Verrechnungspreisen als voraussichtlich erheblich zu erachten ist (Urteil des BVGer A-3810/2020 vom 16. März 2021 E. 3.4.6 [diesbezüglich nicht durch das Urteil des BGer 282/2021 vom 15. Juni 2022 aufgehoben]). Die Zahl der Angestellten kann nicht nur der Prüfung dienen, ob ein Unternehmen tatsächlich tätig ist, sondern zum Beispiel auch Hinweise auf dessen Grösse geben. Zusammen mit weiteren Informationen wie dem Tätigkeitsbereich des Unternehmens können unter Umständen Finanzdaten plausibilisiert werden, wobei allfällige Gewinnverschiebungen zwischen verbundenen Unternehmen einer näheren Überprüfung unterzogen werden können. Die Informationen, wo die Angestellten eingesetzt werden, und ob sie an andere Gesellschaften «ausgeliehen» wurden, können ebenfalls mit dazu dienen, solche Schlüsse zu ziehen. Die Antworten auf die Fragen 7 a und b sind somit zu übermitteln.</w:t>
      </w:r>
    </w:p>
    <w:p>
      <w:r>
        <w:rPr>
          <w:b/>
        </w:rPr>
        <w:t>E. 3.3.6</w:t>
      </w:r>
    </w:p>
    <w:p>
      <w:r>
        <w:t>Zu den übrigen Antworten auf die Fragen nach Lokalitäten der Beschwerdeführerin in Portugal beziehungsweise vertraglichen Beziehungen der Beschwerdeführerin zu solchen Lokalitäten, nach logistischen Abläufen der Lagerung und des Transports der Waren sowie nach der Übernahme von Garantien (Fragen 7 c - f), welche die Vorinstanz übermitteln möchte, bringt die Beschwerdeführerin abermals vor, diese seien für die Anwendung der Nettomargenmethode nicht voraussichtlich erheblich. Wie mehrfach erwähnt, hat die ersuchende Behörde nicht geltend gemacht, die Nettomargenmethode anwenden zu wollen (E. 3.2.1). Weitere Argumente bringt die Beschwerdeführerin diesbezüglich nicht vor. Damit genügt es, hier festzuhalten, dass die erfragten Informationen durchaus erheblich sein können, damit die ersuchende Behörde allfällige Aktivitäten der Beschwerdeführerin in Portugal feststellen kann bzw. so unter anderem ermitteln kann, welche Risiken die Beschwerdeführerin übernimmt, was sich dann auch auf die in Portugal zu besteuernden Gewinne der portugiesischen Gesellschaft auswirken kann. Auch die Antworten auf die Fragen 7c - f sind damit zu übermitteln.</w:t>
      </w:r>
    </w:p>
    <w:p>
      <w:r>
        <w:rPr>
          <w:b/>
        </w:rPr>
        <w:t>E. 3.4</w:t>
      </w:r>
    </w:p>
    <w:p>
      <w:r>
        <w:t>Schliesslich macht die Beschwerdeführerin geltend, gewisse Informationen seien zu schwärzen.</w:t>
      </w:r>
    </w:p>
    <w:p>
      <w:r>
        <w:rPr>
          <w:b/>
        </w:rPr>
        <w:t>E. 3.4.1</w:t>
      </w:r>
    </w:p>
    <w:p>
      <w:r>
        <w:t>Was Informationen betrifft, die von den Perioden, für die um Amtshilfe ersucht wird, nicht umfasst sind, stimmt die Vorinstanz der Beschwerdeführerin im Rahmen der Vernehmlassung zu, dass Informationen, die das Jahr 2015 (und damit das Geschäftsjahr 2014/2015 der Beschwerdeführerin) betreffen, nicht zu übermitteln sind. Der Grund liegt gemäss Vorinstanz darin, dass zwar Informationen für das Steuerjahr 2015/2016 erfragt werden, jene das Jahr 2015 betreffend aber auszusondern sind, weil das Geschäftsjahr der Beschwerdeführerin nicht dem Kalenderjahr entspricht. Die Antwort auf die Frage 2 sei dementsprechend anzupassen. Auch wenn die Vorinstanz nicht die teilweise Gutheissung der Beschwerde in diesem Punkt beantragt, gibt sie klar zu verstehen, dass sie diesbezüglich den Standpunkt der Beschwerdeführerin teilt. Dieser nunmehr zumindest sinngemäss übereinstimmend gestellte Antrag auf Schwärzung (oder Aussonderung) von Informationen, die nicht in den vom Ersuchen umfassten Zeitraum fallen, steht im Einklang mit den rechtlichen Grundlagen und der Rechtsprechung (vgl. Urteile des BGer 2C_141/2018 vom 24. Juli 2020 E. 11.2.1 f., 2C_1087/2016 vom 31. März 2017 E. 4.4) und ist daher gutzuheissen. Die Vorinstanz wird die Antwort auf Frage 2 der ersuchenden Behörde entsprechend anzupassen haben.</w:t>
      </w:r>
    </w:p>
    <w:p>
      <w:r>
        <w:rPr>
          <w:b/>
        </w:rPr>
        <w:t>E. 3.4.2</w:t>
      </w:r>
    </w:p>
    <w:p>
      <w:r>
        <w:t>Weiter beantragt die Beschwerdeführerin die Schwärzung der Namen von zwei ihrer Mitarbeitenden. Konkret geht es um F._______ und G._______. Die beiden Mitarbeitenden erscheinen auf den Jahresrechnungen. Die beiden genannten Mitarbeitenden haben als zeichnungsberechtigte Personen die Jahresrechnungen der Gesellschaft unterschrieben. Mit ihrer Unterschrift haben sie bezeugt, dass die Jahresrechnungen korrekt sind. Es kann schon aus diesem Grund nicht davon ausgegangen werden, dass sie rein zufällig in den Akten erscheinen. Damit sind ihre Namen nicht zu schwärzen. Der entsprechende Antrag der Beschwerdeführerin ist abzuweisen.</w:t>
      </w:r>
    </w:p>
    <w:p>
      <w:r>
        <w:rPr>
          <w:b/>
        </w:rPr>
        <w:t>E. 3.5</w:t>
      </w:r>
    </w:p>
    <w:p>
      <w:r>
        <w:t>Insgesamt ist die Beschwerde somit einzig im Sinne von E. 3.4.1 gutzuheissen, im Übrigen aber abzuweisen.</w:t>
      </w:r>
    </w:p>
    <w:p>
      <w:r>
        <w:rPr>
          <w:b/>
        </w:rPr>
        <w:t>E. 4.1</w:t>
      </w:r>
    </w:p>
    <w:p>
      <w:r>
        <w:t>Ausgangsgemäss sind die Verfahrenskosten der mehrheitlich unterliegenden Beschwerdeführerin aufzuerlegen (Art. 63 Abs. 1 VwVG). Die Gutheissung in einem untergeordneten Punkt vermag an dieser Kostenverteilung nichts zu ändern. Die Verfahrenskosten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