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A-7391/2018 vom 4. Juli 2019</w:t>
      </w:r>
    </w:p>
    <w:p>
      <w:r>
        <w:t>Bundesverwaltungsgericht, 2019-07-04, DE</w:t>
      </w:r>
    </w:p>
    <w:p>
      <w:r>
        <w:rPr>
          <w:b/>
        </w:rPr>
        <w:t xml:space="preserve">Quelle: </w:t>
      </w:r>
      <w:r>
        <w:t>https://mcp.opencaselaw.ch/entscheid/bvger_A-7391_2018</w:t>
      </w:r>
    </w:p>
    <w:p>
      <w:r>
        <w:t>FR: TAF A-7391/2018 du 4 juillet 2019</w:t>
      </w:r>
    </w:p>
    <w:p>
      <w:r>
        <w:t>IT: TAF A-7391/2018 del 4 luglio 2019</w:t>
      </w:r>
    </w:p>
    <w:p>
      <w:pPr>
        <w:pStyle w:val="Heading2"/>
      </w:pPr>
      <w:r>
        <w:t>Regeste</w:t>
      </w:r>
    </w:p>
    <w:p>
      <w:r>
        <w:t>Hausinstallationen</w:t>
      </w:r>
    </w:p>
    <w:p>
      <w:pPr>
        <w:pStyle w:val="Heading2"/>
      </w:pPr>
      <w:r>
        <w:t>Erwägungen</w:t>
      </w:r>
    </w:p>
    <w:p>
      <w:r>
        <w:rPr>
          <w:b/>
        </w:rPr>
        <w:t>E. 1.1</w:t>
      </w:r>
    </w:p>
    <w:p>
      <w:r>
        <w:t>Das Bundesverwaltungsgericht ist zur Behandlung von Beschwerden gegen Verfügungen der Vorinstanz zuständig (Art. 23 des Elektrizitätsgesetzes vom 24. Juni 1902 [EleG, SR 734.0] und Art. 31 ff. VGG). Das Verfahren vor dem Bundesverwaltungsgericht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hat. Nach Erlass der angefochtenen Verfügung am 27. November 2018 gingen die verlangten Sicherheitsnachweise am 18. Dezember 2018 bei der Netzbetreiberin ein. Der Beschwerdeführer stellt somit die Verpflichtung, als Eigentümer einer Liegenschaft einen Sicherheitsnachweis erbringen zu müssen, nicht in Frage und hat diese in der Zwischenzeit auch erfüllt. Die Beschwerde richtet sich demnach nur noch gegen die Gebührenerhebung gemäss Ziffer 2 des Dispositivs der angefochtenen Verfügung. An der Überprüfung der Rechtmässigkeit dieser Gebührenerhebung hat der Beschwerdeführer als Verfügungsadressat weiterhin ein aktuelles Rechtsschutzinteresse (Art. 48 Abs. 1 VwVG). Auf die frist- und formgerecht eingereichte Beschwerde (Art. 50 Abs. 1 und Art. 52 Abs. 1 VwVG) ist daher insoweit einzutreten, als sie sich gegen die Gebührenerhebung richtet (Dispositiv-Ziffer 2). Soweit sie sich gegen Dispositiv-Ziffer 1 der angefochtenen Verfügung richtet, ist sie als gegenstandlos geworden abzuschreiben (vgl. auch Urteil des BVGer A-1557/2017 vom 17. Januar 2018 E. 1.2).</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Gemäss Art. 20 Abs. 1 EleG ist die Beaufsichtigung der elektrischen Anlagen und die Überwachung ihres guten Zustandes Sache des Betriebsinhabers (Eigentümer, Pächter usw.). Der Eigentümer oder der von ihm bezeichnete Vertreter muss auf Verlangen den entsprechenden Sicherheitsnachweis erbringen (Art. 5 Abs. 1 der Verordnung über elektrische Niederspannungsinstallationen vom 7. November 2001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überträgt die Netzbetreiberin der Vorinstanz die Durchsetzung der periodischen Kontrolle (Art. 36 Abs. 1 und 3 NIV). Die Vorinstanz ist gemäss Art. 41 NIV berechtigt, für die Kontrolltätigkeit und für Verfügungen nach dieser Verordnung Gebühren zu erheben.</w:t>
      </w:r>
    </w:p>
    <w:p>
      <w:r>
        <w:rPr>
          <w:b/>
        </w:rPr>
        <w:t>E. 3.2</w:t>
      </w:r>
    </w:p>
    <w:p>
      <w:r>
        <w:t>Im Verwaltungsverfahren gilt der Untersuchungsgrundsatz: Die Behörde ermittelt den Sachverhalt von Amtes wegen (Art. 12 VwVG), wobei den Parteien unter Umständen Mitwirkungspflichten obliegen (Art. 13 VwVG). Eine eigentliche Beweisführungslast trifft die Parteien dagegen nicht (BVGE 2012/21 E. 5.1; 2009/60 E. 2.1.1; 2007/30 E. 5.5.2).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(BVGE 2012/33 E. 6.2.1). Bleibt ein behaupteter Sachumstand unbewiesen, trägt gemäss dem allgemeinen Rechtsgrundsatz im Sinne von Art. 8 ZGB diejenige Partei die Folgen der Beweislosigkeit, die aus dem Vorhandensein einer Tatsache Rechte ableitet.</w:t>
      </w:r>
    </w:p>
    <w:p>
      <w:r>
        <w:rPr>
          <w:b/>
        </w:rPr>
        <w:t>E. 4.1</w:t>
      </w:r>
    </w:p>
    <w:p>
      <w:r>
        <w:t>Streitig und vorliegend nur noch zu prüfen ist, ob die Vorinstanz dem Beschwerdeführer für den Erlass der angefochtenen Verfügung zu Recht eine Gebühr in Rechnung gestellt hat (vgl. vorne E. 1.2).</w:t>
      </w:r>
    </w:p>
    <w:p>
      <w:r>
        <w:rPr>
          <w:b/>
        </w:rPr>
        <w:t>E. 4.2</w:t>
      </w:r>
    </w:p>
    <w:p>
      <w:r>
        <w:t>Der Beschwerdeführer bringt vor, er habe die Sicherheitsnachweise bereits am 5. Juli 2018 unterzeichnet. Diese seien anschliessend auch vom Inhaber des Kontrollorgans unterzeichnet und der Netzbetreiberin weitergeleitet worden, weshalb der Nachweis fristgerecht erbracht worden sei. Die Vorinstanz sei informiert gewesen, wer die erforderlichen Sicherheitsnachweise erledigen werde, und er sei der Überzeugung gewesen, dass alle weiteren Schritte direkt über die Vorinstanz und das Elektrounternehmen laufen würden.</w:t>
      </w:r>
    </w:p>
    <w:p>
      <w:r>
        <w:rPr>
          <w:b/>
        </w:rPr>
        <w:t>E. 4.3</w:t>
      </w:r>
    </w:p>
    <w:p>
      <w:r>
        <w:t>Die Vorinstanz macht geltend, dass der Eigentümer einer mit elektrischen Niederspannungsinstallationen ausgestatteten Liegenschaft verpflichtet sei, den Sicherheitsnachweis zu erbringen. Auf diese Verpflichtung sei der Beschwerdeführer sowohl von der Netzbetreiberin als auch von der Vorinstanz aufmerksam gemacht worden. Seiner Verpflichtung zur fristgerechten Einreichung des Sicherheitsnachweises könne er sich nicht mit Verweis auf das mit der Ausstellung des Sicherheitsnachweises beauftragte Kontrollorgan entziehen. Die Sicherheitsnachweise seien nicht fristgerecht bis zum 31. August 2018, sondern erst im Dezember 2018 eingereicht worden. Daran ändere auch nichts, dass die Nachweise bereits am 5. Juli 2018 erstellt worden seien. Im Weiteren hätten Abklärungen bei der Netzbetreiberin ergeben, dass die verspätet eingereichten Sicherheitsnachweise den inhaltlichen Anforderungen entsprächen, weshalb sich die Beschwerde in Bezug auf Ziffer 1 des Dispositivs als gegenstandslos erweise. Schliesslich bewege sich die erhobene Gebühr im unteren Bereich der vorgegebenen Bandbreite, weshalb sie keinen Anlass zur Beanstandung gebe.</w:t>
      </w:r>
    </w:p>
    <w:p>
      <w:r>
        <w:rPr>
          <w:b/>
        </w:rPr>
        <w:t>E. 5.1</w:t>
      </w:r>
    </w:p>
    <w:p>
      <w:r>
        <w:t>Die formellen Voraussetzungen für die Übergabe der Angelegenheit an die Vorinstanz (Aufforderung und zweimalige Mahnung) sind vorliegend erfüllt.</w:t>
      </w:r>
    </w:p>
    <w:p>
      <w:r>
        <w:rPr>
          <w:b/>
        </w:rPr>
        <w:t>E. 5.2</w:t>
      </w:r>
    </w:p>
    <w:p>
      <w:r>
        <w:t>Es ist unbestritten, dass die Sicherheitsnachweise für die Liegenschaft Hauptstrasse 37 D, 6015 Luzern, am 5. Juli 2018 vom Kontrollorgan unterschrieben wurden. Der Beschwerdeführer vermag jedoch nicht zu belegen, dass die Sicherheitsnachweise im Juli 2018 der Netzbetreiberin eingereicht wurden. Aus den von ihm eingereichten Dokumenten ergibt sich lediglich, dass das von ihm mit der Behebung der Mängel beauftragte Elektrounternehmen die Sicherheitsnachweise am 9. Juli 2018 per E-Mail an das von ihm beauftragte Kontrollorgan geschickt hatte. Dass diese anschliessend noch im Juli an die Netzbetreiberin gelangten, ist nicht belegt. Aus den von der Vorinstanz eingereichten Dokumenten ist hingegen ersichtlich, dass das Kontrollorgan die Sicherheitsnachweise am 12. Dezember 2018 (an den falschen Empfänger) verschickte und diese am 20. Dezember 2018 und somit nach Ablauf der von der Vorinstanz eingeräumten Frist bis 31. August 2018 bei der Netzbetreiberin eingingen. Es ist damit nicht bewiesen, dass die Sicherheitsnachweise bis zum 31. August 2018 bei der Netzbetreiberin eintrafen. Da der Beschwerdeführer aus der bestrittenen Tatsache Rechte ableiten wollte, hat er die Folgen dieser Beweislosigkeit zu tragen. Es ist somit davon auszugehen, dass die Sicherheitsnachweise nicht innert Frist eingegangen sind. Der Beschwerdeführer kann sich seiner Verantwortung als Grundeigentümer auch nicht mit Verweis auf ein angebliches Fehlverhalten des mit der Mängelbehebung beauftragten Elektrounternehmens oder des mit der Ausstellung des Sicherheitsnachweises beauftragten Kontrollorgans entziehen (vgl. das Urteil des BVGer A-1621/2018 vom 11. Februar 2019 E. 3.5 m.w.H.). Auf diese Verpflichtung wurde der Beschwerdeführer von der Netzbetreiberin und von der Vorinstanz mehrmals aufmerksam gemacht. Ein Fehlverhalten des Elektrounternehmens oder des Kontrollorgans könnte allenfalls zivilrechtliche Ansprüche des Beschwerdeführers begründen, seine öffentlich-rechtliche Verpflichtung, den Sicherheitsnachweis fristgerecht zu erbringen, bleibt davon jedoch unberührt (vgl. Urteil des BVGer A-4159/2016 vom 21. November 2016 E. 4.2 m.w.H.).</w:t>
      </w:r>
    </w:p>
    <w:p>
      <w:r>
        <w:rPr>
          <w:b/>
        </w:rPr>
        <w:t>E. 5.3</w:t>
      </w:r>
    </w:p>
    <w:p>
      <w:r>
        <w:t>Die Vorinstanz hat die angedrohte kostenpflichtige Verfügung vom 27. November 2018 daher zu Recht erlassen.</w:t>
      </w:r>
    </w:p>
    <w:p>
      <w:r>
        <w:rPr>
          <w:b/>
        </w:rPr>
        <w:t>E. 5.4</w:t>
      </w:r>
    </w:p>
    <w:p>
      <w:r>
        <w:t>Damit ist auch die dem Beschwerdeführer auferlegte Gebühr dem Grundsatz nach nicht zu beanstanden (Art. 41 NIV). Betreffend die Höhe der Gebühr verweist Art. 41 NIV auf Art. 9 und 10 der Verordnung vom 7. Dezember 1992 über das Eidgenössische Starkstrominspektorat (Vo ESTI, SR 734.24). Danach betragen die Gebühren für den Erlass einer Verfügung höchstens Fr. 3'000.- und sind nach dem tatsächlich entstandenen Aufwand zu bemessen (Art. 9 Abs. 1 Vo ESTI). Innerhalb dieses Gebührenrahmens kommt der Vorinstanz erheblicher Ermessensspielraum zu (vgl. Urteile des BVGer A-1621/2018 vom 11. Februar 2019 E. 3.6.1 und A-1557/2017 vom 17. Januar 2018 E. 4.6, jeweils m.w.H.). Die dem Beschwerdeführer auferlegte Gebühr von Fr. 700.- zuzüglich Fr. 32.- für Auslagen bewegt sich im unteren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insgesamt Fr. 732.- als angemessen. Die Gebühr ist somit auch der Höhe nach nicht zu beanstanden (vgl. Urteil des BVGer A-1621/2018 vom 11. Februar 2019 E. 3.6.2 m.w.H.; ferner Urteil des BGer 2C_1063/2013 vom 2. Juni 2014 E. 4.2).</w:t>
      </w:r>
    </w:p>
    <w:p>
      <w:r>
        <w:rPr>
          <w:b/>
        </w:rPr>
        <w:t>E. 5.5</w:t>
      </w:r>
    </w:p>
    <w:p>
      <w:r>
        <w:t>Die Beschwerde erweist sich demnach als unbegründet und ist abzuweisen, soweit sie nicht als gegenstandslos geworden abzuschreiben ist.</w:t>
      </w:r>
    </w:p>
    <w:p>
      <w:r>
        <w:rPr>
          <w:b/>
        </w:rPr>
        <w:t>E. 6</w:t>
      </w:r>
    </w:p>
    <w:p>
      <w:r>
        <w:t>Bei diesem Ausgang des Verfahrens gilt der Beschwerdeführer als unterliegend, weshalb er die Verfahrenskosten zu tragen hat (Art. 63 Abs. 1 VwVG). Die Verfahrenskosten werden auf Fr. 800.- festgesetzt (Art. 1 ff. des Reglements vom 21. Februar 2008 über die Kosten und Entschädigungen vor dem Bundesverwaltungsgericht [VGKE, SR 173.320.2]). Angesichts seines Unterliegens hat der Beschwerdeführer keinen Anspruch auf eine Parteientschädigung (Art. 64 VwVG i.V.m. Art. 7 VGKE). Auch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