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A-7366/2006 vom 11. Mai 2009</w:t>
      </w:r>
    </w:p>
    <w:p>
      <w:r>
        <w:t>Bundesverwaltungsgericht, 2009-05-11, DE</w:t>
      </w:r>
    </w:p>
    <w:p>
      <w:r>
        <w:rPr>
          <w:b/>
        </w:rPr>
        <w:t xml:space="preserve">Quelle: </w:t>
      </w:r>
      <w:r>
        <w:t>https://mcp.opencaselaw.ch/entscheid/bvger_A-7366_2006</w:t>
      </w:r>
    </w:p>
    <w:p>
      <w:r>
        <w:t>FR: TAF A-7366/2006 du 11 mai 2009</w:t>
      </w:r>
    </w:p>
    <w:p>
      <w:r>
        <w:t>IT: TAF A-7366/2006 del 11 maggio 2009</w:t>
      </w:r>
    </w:p>
    <w:p>
      <w:pPr>
        <w:pStyle w:val="Heading2"/>
      </w:pPr>
      <w:r>
        <w:t>Regeste</w:t>
      </w:r>
    </w:p>
    <w:p>
      <w:r>
        <w:t>VOC-Abgabe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Soweit das VGG nichts anderes bestimmt, richtet sich gemäss dessen Art. 37 das Verfahren nach dem VwVG.</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1.3</w:t>
      </w:r>
    </w:p>
    <w:p>
      <w:r>
        <w:t>Am 1. Mai 2007 sind das Zollgesetz vom 18. März 2005 (ZG, SR 631.0) sowie die dazugehörige Verordnung vom 1. November 2006 (ZV, SR 631.01) in Kraft getreten. Auf Zollveranlagungsverfahren, die zu diesem Zeitpunkt hängig waren, findet nach Art. 132 Abs. 1 ZG das bisherige Recht Anwendung. Das vorliegende Verfahren untersteht deshalb dem (alten) Zollgesetz vom 1. Oktober 1925 (aZG, AS 42 287 und BS 6 465).</w:t>
      </w:r>
    </w:p>
    <w:p>
      <w:r>
        <w:rPr>
          <w:b/>
        </w:rPr>
        <w:t>E. 2.1</w:t>
      </w:r>
    </w:p>
    <w:p>
      <w:r>
        <w:t>Jede Warenein- oder -ausfuhr über die schweizerische Zollgrenze unterliegt grundsätzlich der Zollpflicht (Art. 1 Abs. 1 aZG). Gemäss Art. 1 Abs. 2 aZG umfasst die Zollpflicht die Befolgung der Vorschriften für den Verkehr über die Grenze (Zollmeldepflicht) und die Entrichtung der gesetzlichen Abgaben (Zollzahlungspflicht). Die Zollzahlungspflicht umfasst auch die Verbindlichkeit zur Entrichtung der Abgaben und Kosten, die gestützt auf andere als zollrechtliche Erlasse durch die Zollverwaltung zu erheben sind (Art. 10 aZG). Solches gilt namentlich für die VOC-Abgabe.</w:t>
      </w:r>
    </w:p>
    <w:p>
      <w:r>
        <w:rPr>
          <w:b/>
        </w:rPr>
        <w:t>E. 2.2</w:t>
      </w:r>
    </w:p>
    <w:p>
      <w:r>
        <w:t>Die VOC-Abgabe hat ihre gesetzliche Grundlage in Art. 35a und Art. 35c USG und wird in der VOCV näher ausgeführt.</w:t>
      </w:r>
    </w:p>
    <w:p>
      <w:r>
        <w:rPr>
          <w:b/>
        </w:rPr>
        <w:t>E. 2.2.1</w:t>
      </w:r>
    </w:p>
    <w:p>
      <w:r>
        <w:t>VOC ("Volatile Organic Compounds") sind organische Verbindungen mit einem Dampfdruck von mindestens 0.1 mbar bei 20°C oder mit einem Siedepunkt von höchstens 240°C bei 1013.25 mbar (Art. 1 VOCV). Abgabeobjekte gemäss Art. 2 VOCV sind die VOC der Stoff-Positivliste (Anhang 1) sowie diese VOC in eingeführten Gemischen und Gegenständen der Produkte-Positivliste (Anhang 2). Der Abgabesatz beträgt Fr. 2.-- je Kilogramm VOC bis 31. Dezember 2002, Fr. 3.-- ab 1. Januar 2003 (Art. 7 VOCV; vgl. hierzu auch Entscheid der Eidgenössischen Zollrekurskommission [ZRK] vom 5. Februar 2003, veröffentlicht in Verwaltungspraxis der Bundesbehörden [VPB] 67.76 E. 2b).</w:t>
      </w:r>
    </w:p>
    <w:p>
      <w:r>
        <w:rPr>
          <w:b/>
        </w:rPr>
        <w:t>E. 2.2.2</w:t>
      </w:r>
    </w:p>
    <w:p>
      <w:r>
        <w:t>Wer VOC einführt oder wer als Hersteller solche Stoffe in Verkehr bringt oder selbst verwendet, hat dem Bund grundsätzlich eine Lenkungsabgabe zu entrichten (Art. 35a Abs. 1 USG). Abgabepflichtig sind die bei der Einfuhr nach dem Zollgesetz Zahlungspflichtigen sowie die Hersteller und Erzeuger im Inland (Art. 35c Abs. 1 Bst. a USG). Der Sinn der VOC-Abgabe besteht darin, dass grundsätzlich alle in der Schweiz in Verkehr gesetzten VOC mit der Abgabe belastet werden. Es müssen daher die in die Schweiz eingeführten und die im Inland hergestellten VOC belastet werden. Nicht belastet ist das Inverkehrbringen oder die Verwendung VOC-haltiger Gemische und Gegenstände im Inland, da die darin verarbeiteten VOC bereits entweder bei der Herstellung im Inland oder beim Import in die Schweiz belastet wurden (Hansjörg Seiler, in Kommentar zum Umweltschutzgesetz, 2. Aufl., Zürich 1999, N. 40 zu Art. 35a). Soweit die Ein- oder Ausfuhr betroffen ist, findet für die Erhebung und Rückerstattung der Abgabe und auf das Verfahren die Zollgesetzgebung sinngemäss Anwendung (Art. 3 VOCV in Verbindung mit Art. 35c Abs. 3 USG).</w:t>
      </w:r>
    </w:p>
    <w:p>
      <w:r>
        <w:rPr>
          <w:b/>
        </w:rPr>
        <w:t>E. 2.2.3</w:t>
      </w:r>
    </w:p>
    <w:p>
      <w:r>
        <w:t>Von der Abgabe befreit sind nach Art. 35a Abs. 3 USG flüchtige organische Verbindungen, die als Treib- oder Brennstoffe verwendet (Bst. a), durch- oder ausgeführt (Bst. b), oder so verwendet oder behandelt werden, dass die Verbindungen nicht in die Umwelt gelangen können (Bst. c). Die Regelung, dass keine Abgabe geschuldet ist, wenn die VOC nicht in die Umwelt gelangen können, ist systemkonform. Das Ziel der Abgabe besteht nicht darin, dass möglichst wenig VOC verwendet werden, sondern dass möglichst wenig in die Umwelt gelangen (SEILER, a.a.O., N. 60 zu Art. 35a). Der Begriff der Umwelt ist dabei global zu verstehen. Nicht erhoben werden soll die Abgabe ebenfalls für die VOC, die durch- oder ausgeführt werden. Zwar sind diese für die Umwelt ebenso schädlich wie die Emissionen in der Schweiz, eine Belastung exportierter Produkte würde aber die schweizerischen Exporteure auf dem Weltmarkt gegenüber ihren Konkurrenten benachteiligen (vgl. dazu Seiler, a.a.O., N. 13 zu Art. 35a). Kann erst nach der Abgabeerhebung nachgewiesen werden, dass die Voraussetzungen für eine Abgabebefreiung gegeben sind, so werden die Abgaben zurückerstattet. Der Bundesrat kann die Anforderungen an den Nachweis festlegen und die Rückerstattung ausschliessen, wenn sie einen unverhältnismässigen Aufwand erfordern würde (Art. 35c Abs. 2 USG). Der Nachweis der Ausfuhr von VOC bzw. VOC-haltigen Produkten hat den Anforderungen der Zollgesetzgebung entsprechend zu erfolgen (vgl. E. 2.2.2 in fine). Ein solcher Nachweis kann im Zollverfahren grundsätzlich (vorbehältlich der Bewilligung für die sog. vereinfachte Ausfuhrregelung) nur zollamtlich erfolgen, d.h. mittels angenommener Zolldeklaration (Urteil des Bundesverwaltungsgerichts A-1703/2006 vom 2. Oktober 2008 E. 3.1.1).</w:t>
      </w:r>
    </w:p>
    <w:p>
      <w:r>
        <w:rPr>
          <w:b/>
        </w:rPr>
        <w:t>E. 2.3</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(statt vieler: BGE 130 III 324 E. 3.2). Nach der höchstrichterlichen Rechtsprechung kann das Beweisverfahren geschlossen werden, wenn die noch im Raum stehenden Beweisanträge eine nicht erhebliche Tatsache betreffen oder offensichtlich untauglich sind, etwa weil ihnen die Beweiseignung an sich abgeht oder die betreffende Tatsache aus den Akten bereits genügend ersichtlich ist. Diesfalls werden die von den Parteien gestellten Beweisanträge im Rahmen einer vorweggenommenen, sog. antizipierten Beweiswürdigung abgewiesen. Dies ist zulässig, wenn das Gericht aufgrund bereits erhobener Beweise oder aus anderen Gründen den rechtserheblichen Sachverhalt für genügend geklärt hält und überzeugt ist, seine rechtliche Überzeugung würde durch weitere Beweiserhebungen nicht geändert (BGE 131 I 157 E. 3, 130 II 429 E. 2.1, 125 I 134 E. 6c/cc; Urteil des Bundesverwaltungsgerichts A-1654/2006 vom 22. Oktober 2008 E. 1.4; MOSER/BEUSCH/KNEUBÜHLER, a.a.O., Rz. 3.144). Erachtet das Gericht eine Tatsache nicht als erwiesen, kommen die Beweislastregeln zur Anwendung; es ist zu Ungunsten desjenigen zu urteilen, der die Beweislast trägt (statt vieler: Urteile des Bundesverwaltungsgerichts A-1469/2006 vom 7. Mai 2008 E. 1.4, A-1373/2006 vom 16. November 2007 E. 2.1, je mit weiteren Hinweisen). Die Abgabebehörde trägt die Beweislast für Tatsachen, welche die Abgabepflicht als solche begründen oder die Abgabeforderung erhöhen, d.h. für die abgabebegründenden und -mehrenden Tatsachen. Demgegenüber ist der Abgabepflichtige für die abgabeaufhebenden und -mindernden Tatsachen beweisbelastet, d.h. für solche Tatsachen, welche Abgabebefreiung oder Abgabebegünstigung bewirken (statt vieler: Urteil des Bundesgerichts vom 14. Juli 2005, veröffentlicht in Archiv für Schweizerisches Abgaberecht [ASA] 75 S. 495 ff. E. 5.4; Urteile des Bundesverwaltungsgerichts A-1469/2006 vom 7. Mai 2008 E. 1.4, A-1373/2006 vom 16. November 2007 E. 2.1, je mit Hinweisen).</w:t>
      </w:r>
    </w:p>
    <w:p>
      <w:r>
        <w:rPr>
          <w:b/>
        </w:rPr>
        <w:t>E. 3</w:t>
      </w:r>
    </w:p>
    <w:p>
      <w:r>
        <w:t>Im vorliegenden Fall importiert die Beschwerdeführerin regelmässig grössere Mengen des Treibmittels "X._______" aus Schweden in Pulverform. An ihrem Sitz in (...) führt sie diesem Polymere und Additive zu. Nach Angaben der Beschwerdeführerin wird das gemischte Endprodukt anschliessend vollumfänglich wieder nach Schweden ausgeführt. Bis anhin entrichtete die Beschwerdeführerin die VOC-Abgabe bei der Einfuhr und stellte bei der Ausfuhr einen Rückerstattungsantrag für den entsprechenden Abgabebetrag, der ihr auch gewährt wurde. Mit der vorliegenden Beschwerde bestreitet sie zunächst, dass das Treibmittel "X._______" überhaupt der Abgabepflicht unterliegt (E. 3.1). Zudem macht sie geltend, sie erfülle für eine Befreiung von der Abgabe nicht nur den Tatbestand nach Art. 35a Abs. 3 Bst. b USG, sondern auch Art. 35a Abs. 3 Bst. c USG (E. 3.2). Zudem seien die Voraussetzungen für eine Befreiung bereits im Zeitpunkt der Einfuhr gegeben, weshalb die Abgabe gar nicht erst zu erheben sei (E. 3.3).</w:t>
      </w:r>
    </w:p>
    <w:p>
      <w:r>
        <w:rPr>
          <w:b/>
        </w:rPr>
        <w:t>E. 3.1</w:t>
      </w:r>
    </w:p>
    <w:p>
      <w:r>
        <w:t>Unbestritten ist, dass das Treibmittel "X._______" VOC enthält. Die Beschwerdeführerin wendet aber ein, "X._______" würde zu Unrecht der Produkte-Positivliste zugeordnet, da das VOC im Pulver eingebunden sei, weshalb "X._______" keine flüchtige organische Verbindung darstelle (vgl. Beschwerde Rz. 27, 56). Die Beschwerdeführerin verkennt, dass für eine Abgabepflicht nicht vorausgesetzt wird, dass die Gemische und Gegenstände gemäss der Produkte-Positivliste (Anhang 2 der VOCV) flüchtige Verbindungen bilden. Der Abgabe unterworfen sind nicht die Gemische oder Gegenstände als solche, sondern die darin enthaltenen VOC (E. 2.2.1). Bei den im Anhang 2 aufgeführten Gegenständen sind die VOC typischerweise im Gegenstand eingebunden (wie zum Beispiel bei Seifenstücken, Zahnseiden oder Räucherstäbchen etc.; vgl. Anhang 2 der VOCV). Systemkonform wird bei der Einfuhr eines solchen Gegenstandes die Abgabe eingefordert. Bei einer anschliessenden Verwendung, Weiterverarbeitung oder Entsorgung, bei der ein Entweichen der VOC in die Umwelt stattfinden kann, wird demgegenüber keine VOC-Abgabe mehr erhoben (E. 2.2.2). Da das Treibmittel "X._______" mit der Zolltarif-Nummer 3906.9090 in der Produkte-Positivliste enthalten ist und VOC nach der Stoff-Positivliste enthält, unterliegt es gemäss Art. 2 Bst. b VOCV grundsätzlich der Abgabepflicht.</w:t>
      </w:r>
    </w:p>
    <w:p>
      <w:r>
        <w:rPr>
          <w:b/>
        </w:rPr>
        <w:t>E. 3.2</w:t>
      </w:r>
    </w:p>
    <w:p>
      <w:r>
        <w:t>Die Beschwerdeführerin macht geltend, dass sie den Befreiungstatbestand nach Art. 35a Abs. 3 Bst. c USG erfülle. Sie verwende das "X._______" derart, dass kein VOC in die Umwelt gelangen könne. Das VOC-haltige Pulver werde lediglich gemischt und dann mit dem identischen, unveränderten VOC-Gehalt in der Mischung wieder exportiert. Dies stehe bereits bei der Einfuhr fest. Diese Argumentation ist indessen nicht stichhaltig, da die Beschwerdeführerin verkennt, dass der Umweltbegriff nach Art. 35a Abs. 3 Bst. c USG global zu verstehen ist (E. 2.2.3). Der Befreiungstatbestand setzt voraus, dass die VOC so verwendet oder behandelt werden, dass die Verbindungen weder im In- noch im Ausland in die Umwelt gelangen können. Auch wenn davon ausgegangen wird, dass bei der Verarbeitung durch die Beschwerdeführerin kein VOC emittiert, kann bei einer weiteren Verarbeitung, Verwendung oder Entsorgung der "X._______" im In- oder Ausland nicht ausgeschlossen werden, dass VOC in die Umwelt freigesetzt wird. Die Beschwerdeführerin macht dies auch nicht geltend. Sie bringt nur vor, dass bei ihrem Bearbeitungsprozess und einer anschliessenden Lagerung kein VOC emittiere (Beschwerde Rz. 34, 43). Bei diesem Bearbeitungsprozess, der Zugabe von Polymeren und Additiven, findet nach den übereinstimmenden Angaben der Beschwerdeführerin und des Lufthygieneamtes beider Basel keine chemische Umwandlung statt (vgl. Schreiben des Lufthygieneamts beider Basel vom 11. Juli 2005). Es ist deshalb davon auszugehen, dass das gemischte Produkt ebenso wie das ursprüngliche der Produkte-Positivliste zuzuordnen und eine spätere VOC-Freisetzung (bei der Weiterverarbeitung, Verwendung oder Entsorgung) möglich ist. Die Beschwerdeführerin erfüllt demnach den Befreiungstatbestand von Art. 35a Abs. 3 Bst. c USG nicht. Auf eine weitere Stellungnahme des Lufthygieneamts beider Basel kann im Sinne einer antizipierten Beweiswürdigung (E. 2.3) verzichtet werden, da vorliegend - wie dargelegt - nicht (nur) die Frage der VOC-Freisetzung beim Bearbeitungsprozess der Beschwerdeführerin im Inland entscheidend ist.</w:t>
      </w:r>
    </w:p>
    <w:p>
      <w:r>
        <w:rPr>
          <w:b/>
        </w:rPr>
        <w:t>E. 3.3</w:t>
      </w:r>
    </w:p>
    <w:p>
      <w:r>
        <w:t>Ebenfalls nicht stichhaltig ist der Einwand der Beschwerdeführerin, es sei bereits bei der Einfuhr klar, dass sie den Befreiungstatbestand der Ausfuhr nach Art. 35a Abs. 3 Bst. b USG erfüllen werde und deshalb die Abgabe gar nicht erst zu erheben sei. Der Nachweis der Ausfuhr, welcher der Beschwerdeführerin obliegt (E. 2.3), kann vorliegend nur zollamtlich mittels angenommener Zolldeklaration erfolgen (E. 2.2.3 in fine). Nicht ausreichend sind somit insbesondere vertragliche Abmachungen über (zukünftige) Exporte. Die Beschwerdeführerin kann demnach erst nach der Abgabeerhebung nachweisen, dass sie die Voraussetzungen des Befreiungstatbestands der Ausfuhr erfüllt. Gemäss Art. 35c Abs. 2 USG kommt deshalb das Rückerstattungsverfahren zur Anwendung (E. 2.2.3). Die beantragte Nichterhebung der Abgabe ist nicht zulässig. Soweit die Beschwerdeführerin vorbringt, das Rückerstattungsverfahren bewirke eine unverhältnismässig hohe Kapitalbindung, ist auf das Verpflichtungsverfahren nach Art. 21 VOCV zu verweisen. Unternehmen, die über eine entsprechende Bewilligung verfügen, können VOC vorläufig abgabebefreit einführen und vermeiden auf diesem Weg eine übermässige Kapitalbindung (vgl. Art. 21 Abs. 1 VOCV). Offenbar hat die Beschwerdeführerin bereits im Juni 2005 beim Lufthygieneamt beider Basel um Durchführung des Verpflichtungsverfahrens ersucht. Dieses antwortete ihr mit Schreiben vom 11. Juli 2005, dass sie die Voraussetzungen dafür nicht erfülle. In der Folge war die Bewilligung des Verpflichtungsverfahrens aber weder Gegenstand des Gesuchs der Beschwerdeführerin an die OZD vom 13. Oktober 2006 noch ging die OZD in ihrer Verfügung vom 25. Oktober 2006 darauf - ausser einem Hinweis auf die Möglichkeit ein entsprechendes Gesuch zu stellen - näher ein. Konsequenterweise beantragte die Beschwerdeführerin in ihrer Beschwerde nicht die Bewilligung des Verpflichtungsverfahrens, sondern die Nichterhebung der Abgabe. Soweit die Beschwerdeführerin nun in ihrer Beschwerdebegründung die Voraussetzungen des Verpflichtungsverfahrens kritisiert (Beschwerde, Rz. 70 f.), erübrigt es sich darauf einzugehen, da dieses offensichtlich nicht Streitgegenstand des vorliegenden Verfahrens bildet. Es steht der Beschwerdeführerin offen, betreffend die Bewilligung des Verpflichtungsverfahrens eine anfechtbare Verfügung bei der OZD zu verlangen. Zusammenfassend ist der Antrag der Beschwerdeführerin um Durchführung des Nichterhebungsverfahrens bei der Einfuhr des Treibmittels "X._______" abzuweisen. In der Folge erweisen sich die Anträge gemäss Ziff. 3 und 4 (Befreiung bzw. teilweise Befreiung von der Pflicht zur Führung einer VOC-Buchhaltung bei Gestattung des Nichterhebungsverfahrens) als hinfällig.</w:t>
      </w:r>
    </w:p>
    <w:p>
      <w:r>
        <w:rPr>
          <w:b/>
        </w:rPr>
        <w:t>E. 4</w:t>
      </w:r>
    </w:p>
    <w:p>
      <w:r>
        <w:t>Dem Gesagten zufolge ist die Beschwerde abzuweisen. Bei diesem Verfahrensausgang sind der Beschwerdeführerin sämtliche Kosten für das Beschwerdeverfahren vor dem Bundesverwaltungsgericht aufzuerlegen (vgl. Art. 63 Abs. 1 VwVG). Die Verfahrenskosten werden auf Fr. 5'000.-- festgesetzt (Art. 4 des Reglements vom 21. Februar 2008 über die Kosten und Entschädigungen vor dem Bundesverwaltungsgericht [VGKE, SR 173.320.2]) und der Beschwerdeführerin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