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A-735/2013 vom 23. Mai 2013</w:t>
      </w:r>
    </w:p>
    <w:p>
      <w:r>
        <w:t>Bundesverwaltungsgericht, 2013-05-23, DE</w:t>
      </w:r>
    </w:p>
    <w:p>
      <w:r>
        <w:rPr>
          <w:b/>
        </w:rPr>
        <w:t xml:space="preserve">Quelle: </w:t>
      </w:r>
      <w:r>
        <w:t>https://mcp.opencaselaw.ch/entscheid/bvger_A-735_2013</w:t>
      </w:r>
    </w:p>
    <w:p>
      <w:r>
        <w:t>FR: TAF A-735/2013 du 23 mai 2013</w:t>
      </w:r>
    </w:p>
    <w:p>
      <w:r>
        <w:t>IT: TAF A-735/2013 del 23 maggio 2013</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zuständig (Art. 23 des Elektrizitätsgesetzes vom 24. Juni 1902 [EleG, SR 734.0] und Art. 31 ff. des Verwaltungsgerichtsgesetzes vom 17. Juni 2005 [VGG, SR 173.32]). Der Beschwerdeführer ist Adressat der angefochtenen Verfügung und durch diese auch materiell beschwert. Er ist damit nach Art. 48 Abs. 1 des Verwaltungsverfahrensgesetzes vom 20. Dezember 1968 (VwVG, SR 172.021) zur Beschwerde berechtigt. Auf die im Übrigen frist- und formgerecht eingereichte Beschwerde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w:t>
      </w:r>
    </w:p>
    <w:p>
      <w:r>
        <w:rPr>
          <w:b/>
        </w:rPr>
        <w:t>E. 3.1</w:t>
      </w:r>
    </w:p>
    <w:p>
      <w:r>
        <w:t>Elektrische Installationen müssen nach den anerkannten Regeln der Technik erstellt, geändert, in Stand gehalten und kontrolliert werden (Art. 3 EleG i.V.m. Art. 3 Abs. 1 der Verordnung vom 7. November 2001 über elektrische Niederspannungsinstallationen [NIV; SR 734.27]). Gemäss Art. 20 Abs. 1 EleG ist der Betriebsinhaber (Eigentümer, Pächter usw.) für die Beaufsichtigung der elektrischen Anlagen und die Überwachung ihres guten Zustandes verantwortlich. Die heute geltende NIV trat am 1. Januar 2002 in Kraft (Art. 45 NIV). Als Übergangsbestimmung hält Art. 44 Abs. 6 NIV fest, dass eine noch nach bisherigem Recht fällig gewordene und im Zeitpunkt des Inkrafttretens der NIV noch nicht erledigte Installationskontrolle nach den bisherigen Verfahrensvorschriften der Verordnung vom 6. September 1989 über elektrische Niederspannungsinstallationen (aNIV; AS 1989 1834) durchgeführt werden muss (s.a. Urteil des Bundesverwaltungsgerichts A-3862/2010 vom 12. Mai 2011 E. 3.1 m.H.).</w:t>
      </w:r>
    </w:p>
    <w:p>
      <w:r>
        <w:rPr>
          <w:b/>
        </w:rPr>
        <w:t>E. 3.1.1</w:t>
      </w:r>
    </w:p>
    <w:p>
      <w:r>
        <w:t>Weil die Kontrolle vom 19. März 2003 unbestrittenermassen noch gemäss der aNIV durchgeführt wurde, sind deren Verfahrensvorschriften massgeblich. Die Durchführung der Kontrolle ist in Art. 31 ff. aNIV geregelt. Art. 34 aNIV bestimmt die Kontrollperioden. Die Vorinstanz geht für das vorliegende Objekt von einer Kontrollperiode von zehn Jahren aus; sie scheint hierbei von einer gewerblich genutzten Werkstatt auszugehen, da es sich um eine Schreinerei handelt (vgl. Art. 34 Abs. 1 Bst. c Ziff. 3 aNIV sowie für das neue Recht Art. 36 Abs. 4 i.V.m. Anhang Ziff. 2 Bst. c Nr. 4 NIV). Im vorliegenden Fall besteht kein Anlass, an dieser Zuordnung zu zweifeln, namentlich bringt der Beschwerdeführer nicht vor, die Schreinerei sei im Jahr 2003 nicht gewerblich genutzt gewesen.</w:t>
      </w:r>
    </w:p>
    <w:p>
      <w:r>
        <w:rPr>
          <w:b/>
        </w:rPr>
        <w:t>E. 3.1.2</w:t>
      </w:r>
    </w:p>
    <w:p>
      <w:r>
        <w:t>Nach Art. 36 Abs. 1 aNIV fordert das Kontrollorgan den Inhaber der Installation auf, festgestellte Mängel innert drei Monaten zu beheben oder die mangelhafte Installation zu entfernen. Das Kontrollorgan kann die Frist auf begründetes Gesuch des Inhabers hin um höchstens zwölf Monate verlängern. Werden innert der gesetzten Frist weder die Mängel behoben noch die Installation entfernt, so trifft das Inspektorat auf Antrag des Kontrollorgans die geeigneten Massnahmen (Art. 36 Abs. 2 aNIV; für die Überweisung an die Vorinstanz nach neuem Recht siehe Art. 40 Abs. 3 NIV). Der Inhaber der Installation oder der die Mängel behebende Installateur ist verpflichtet, die Beseitigung der Mängel bis zum Ablauf der Frist zu melden. Die Kontrollorgane wachen über den rechtzeitigen Eingang dieser Meldung und machen Nachkontrollen (Art. 36 Abs. 5 Satz 1 und 2 aNIV). Nach den altrechtlichen Verfahrensvorschriften erfolgt die Meldung über die Behebung der Mängel mit der Mängelbehebungsanzeige des Elektro-Installateurs; die Vorinstanz akzeptiert hierfür auch einen Sicherheitsnachweis nach neuem Recht (Art. 37 NIV).</w:t>
      </w:r>
    </w:p>
    <w:p>
      <w:r>
        <w:rPr>
          <w:b/>
        </w:rPr>
        <w:t>E. 3.1.3</w:t>
      </w:r>
    </w:p>
    <w:p>
      <w:r>
        <w:t>Der Beschwerdeführer als Eigentümer der Liegenschaft hat somit auf Verlangen den erforderlichen Sicherheitsnachweis für die ihm gehörenden elektrischen Anlagen zu erbringen. Nach den voranstehenden Ausführungen bringt er zu Unrecht vor, eine Kontrolle der elektrischen Installationen sei nie nötig gewesen. Für die Durchführung der Kontrolle bestand auch nach altem Recht eine Grundlage. Wie der Prüfbericht zeigt, wurden denn auch Mängel festgestellt, die behoben werden müssen. Die Netzbetreiberin mahnte den Beschwerdeführer mehrfach und verlängerte die Frist zur Mängelbeseitigung bis zum 7. März 2008, danach überwies sie die Angelegenheit zur Durchsetzung an die Vorinstanz.</w:t>
      </w:r>
    </w:p>
    <w:p>
      <w:r>
        <w:rPr>
          <w:b/>
        </w:rPr>
        <w:t>E. 3.2</w:t>
      </w:r>
    </w:p>
    <w:p>
      <w:r>
        <w:t>Der Umkehrschluss aus Art. 44 Abs. 6 NIV ergibt, dass (spätestens) mit der Überweisung der Angelegenheit an die Vorinstanz die periodische Kontrolle einen Abschluss gefunden hatte und es danach der Vorinstanz oblag, in Anwendung von neuem Recht die Mängelbehebung beim Beschwerdeführer durchzusetzen (Urteile des Bundesverwaltungsgerichts A-3862/2010 vom 12. Mai 2011 E. 4.1 m.H., A-7094/2009 vom 6. Sep­tember 2010 E. 5.2 m.H. und A-6159/2008 vom 6. Mai 2009 E. 3.1).</w:t>
      </w:r>
    </w:p>
    <w:p>
      <w:r>
        <w:rPr>
          <w:b/>
        </w:rPr>
        <w:t>E. 3.2.1</w:t>
      </w:r>
    </w:p>
    <w:p>
      <w:r>
        <w:t>Gemäss Art. 5 NIV hat der Eigentümer dafür zu sorgen, dass seine elektrischen Installationen ständig den gesetzlichen Anforderungen an die Sicherheit (Art. 3 NIV) und zur Vermeidung von Störungen (Art. 4 NIV) genügen. Festgestellte Mängel muss der Eigentümer unverzüglich, resp. innerhalb der vom zuständigen Organ gesetzten Frist, durch einen installationsberechtigten Fachmann beheben lassen (Art. 5 Abs. 3 und Art. 40 Abs. 1 und 2 NIV). Die Durchführung von technischen Kontrollen und die Ausstel­lung der entsprechenden Sicherheitsnachweise erfolgen von unabhän­gigen Kontrollorganen und akkreditierten Inspektionsstellen im Auftrag der Eigentümer der elektrischen Installationen (Art. 32 Abs. 1 NIV; s.a. Urteil des Bundesgerichts 2C_1/2009 vom 11. September 2009 E. 4.3.2). Wenn die Angelegenheit zur Durchsetzung an die Vorinstanz übertragen wird, kann diese eine kostenpflichtige Verfügung erlassen und für den Widerhandlungsfall den Erlass einer Ordnungsbusse in Aussicht stellen (Art. 56 Abs. 1 EleG i.V.m. Art. 41 Abs. 2 VwVG).</w:t>
      </w:r>
    </w:p>
    <w:p>
      <w:r>
        <w:rPr>
          <w:b/>
        </w:rPr>
        <w:t>E. 3.2.2</w:t>
      </w:r>
    </w:p>
    <w:p>
      <w:r>
        <w:t>Die Vorinstanz forderte den Beschwerdeführer am 4. Juni 2008 zur Mängelbehebung und dem entsprechenden Nachweis auf (Sachverhalt Bst. C). Anschliessend gewährte sie ihm, resp. dem ausführenden Elektro-Installateur, verschiedene Fristerstreckungen bevor sie ihn am 19. April 2012 erneut aufforderte (Sachverhalt Bst. D und E). Da der Beschwerdeführer seine Pflichten als Eigentümer einer elektrischen Installation nicht erfüllt hat, ist die von der Vorinstanz erlassene Verfügung nicht zu beanstanden.</w:t>
      </w:r>
    </w:p>
    <w:p>
      <w:r>
        <w:rPr>
          <w:b/>
        </w:rPr>
        <w:t>E. 4</w:t>
      </w:r>
    </w:p>
    <w:p>
      <w:r>
        <w:t>Der Beschwerdeführer verlangt im Weiteren die Aufhebung der ihm in der angefochtenen Verfügung auferlegten Verwaltungsgebühr. Gemäss Art. 41 NIV erhebt die Vorinstanz für die Kontrolltätigkeit und für Verfügungen nach dieser Verordnung Gebühren gemäss Art. 9 und 10 der Verordnung vom 7. Dezember 1992 über das Eidgenössische Stark­strom­inspektorat (VO-ESTI, SR 734.24). Danach betragen die nach Aufwand zu bemessenden Gebühren für eine Verfügung höchstens Fr. 1'500.-, wobei der benötigte tatsächliche Aufwand massgebend ist (Art. 9 Abs. 1 und Abs. 2 VO-ESTI). Der Vorinstanz kommt innerhalb dieses Gebührenrahmens ein erheblicher Ermessenspielraum zu (statt vieler Urteile des Bundesverwaltungsgerichts A-6529/2012 vom 22. April 2013 E. 3.4 und A-822/2012 vom 12. März 2013 E. 4.4 m.H.). Die erhobene Gebühr von Fr. 600.- bewegt sich im unteren Bereich der vorgegebenen Bandbreite. Die Vorinstanz hatte bei der Bearbeitung der Angelegenheit ausserdem einen erheblichen Aufwand zu betreiben: So war das überwiesene Dossier zu prüfen, dem Beschwerdeführer eine Nachfrist anzusetzen, die Einhaltung der Frist zu kontrollieren und schliesslich eine anfechtbare Verfügung zu erlassen. In Anbetracht dieses Aufwandes erscheint eine Gebühr von Fr. 600.- als angemessen. Die Erhebung der Gebühr ist daher weder im Grundsatz noch in der Höhe zu beanstanden. Der Beschwerdeführer ist darauf aufmerksam zu machen, dass diese Gebühr gemäss Vorinstanz auf Gesuch hin in Raten bezahlt werden kann.</w:t>
      </w:r>
    </w:p>
    <w:p>
      <w:r>
        <w:rPr>
          <w:b/>
        </w:rPr>
        <w:t>E. 5</w:t>
      </w:r>
    </w:p>
    <w:p>
      <w:r>
        <w:t>Zusammenfassend kann festgehalten werden, dass die Vorinstanz den Beschwerdeführer zu Recht in einer anfechtbaren Verfügung aufgefordert hat, den ausstehenden Sicherheitsnachweis zu erbringen, ihm hierfür eine Verwaltungsgebühr von Fr. 600.- auferlegt und ihm für den Fall der Missachtung dieser Verfügung den Erlass einer Ordnungsbusse in Aussicht gestellt hat. Die Beschwerde wird deshalb abgewiesen; bei diesem Verfahrensausgang ist der Beschwerdeführer die unterliegende Partei.</w:t>
      </w:r>
    </w:p>
    <w:p>
      <w:r>
        <w:rPr>
          <w:b/>
        </w:rPr>
        <w:t>E. 6</w:t>
      </w:r>
    </w:p>
    <w:p>
      <w:r>
        <w:t>Grundsätzlich sind die Verfahrenskosten von der unterliegenden Partei zu tragen; ausnahmsweise können sie aber erlassen werden (Art. 63 Abs. 1 VwVG und Art. 6 des Reglements über die Kosten und Entschädigungen vor dem Bundesverwaltungsgericht vom 21. Februar 2008 [VGKE, SR 173.320.2]). Da der Beschwerdeführer glaubhaft geltend macht, er verfüge bloss über die AHV, rechtfertigt es sich, ihm keine Kosten aufzuerlegen, zumal er auch von der Leistung eines Kostenvorschusses befreit worden ist. Indes ist die Ausrichtung einer Parteientschädigung an den unterliegenden Beschwerdeführer nicht angezeigt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