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A-7307/2008 vom 14. April 2009</w:t>
      </w:r>
    </w:p>
    <w:p>
      <w:r>
        <w:t>Bundesverwaltungsgericht, 2009-04-14, DE</w:t>
      </w:r>
    </w:p>
    <w:p>
      <w:r>
        <w:rPr>
          <w:b/>
        </w:rPr>
        <w:t xml:space="preserve">Quelle: </w:t>
      </w:r>
      <w:r>
        <w:t>https://mcp.opencaselaw.ch/entscheid/bvger_A-7307_2008</w:t>
      </w:r>
    </w:p>
    <w:p>
      <w:r>
        <w:t>FR: TAF A-7307/2008 du 14 avril 2009</w:t>
      </w:r>
    </w:p>
    <w:p>
      <w:r>
        <w:t>IT: TAF A-7307/2008 del 14 aprile 2009</w:t>
      </w:r>
    </w:p>
    <w:p>
      <w:pPr>
        <w:pStyle w:val="Heading2"/>
      </w:pPr>
      <w:r>
        <w:t>Regeste</w:t>
      </w:r>
    </w:p>
    <w:p>
      <w:r>
        <w:t>Datenschutz</w:t>
      </w:r>
    </w:p>
    <w:p>
      <w:pPr>
        <w:pStyle w:val="Heading2"/>
      </w:pPr>
      <w:r>
        <w:t>Erwägungen</w:t>
      </w:r>
    </w:p>
    <w:p>
      <w:r>
        <w:rPr>
          <w:b/>
        </w:rPr>
        <w:t>E. 1</w:t>
      </w:r>
    </w:p>
    <w:p>
      <w:r>
        <w:t>Gemäss Art. 31 des Verwaltungsgerichtsgesetzes vom 17. Juni 2005 (VGG, SR 173.32) beurteilt das Bundesverwaltungsgericht Beschwerden gegen Verfügungen nach Art. 5 VwVG. Mit der Beschwerde vom 17. November 2008 wird eine Verfügung des BFM angefochten, welche in Anwendung des DSG erging. Weil keine Ausnahme nach Art. 32 VGG vorliegt und das BFM eine Vorinstanz nach Art. 33 VGG ist, ist das Bundesverwaltungsgericht zur Beurteilung der vorliegenden Beschwerde zuständig.</w:t>
      </w:r>
    </w:p>
    <w:p>
      <w:r>
        <w:rPr>
          <w:b/>
        </w:rPr>
        <w:t>E. 2</w:t>
      </w:r>
    </w:p>
    <w:p>
      <w:r>
        <w:t>Die Abteilung I des Bundesverwaltungsgerichts ist zuständig zur Beurteilung von Fällen aus dem Bereich des Datenschutzes (vgl. Anhang 1 des Geschäftsreglements vom 17. April 2008 für das Bundesverwaltungsgericht [VGR, SR 173.320.1] und Urteil A-3764/2008 des Bundesverwaltungsgerichts vom 18. Dezember 2008 E. 2).</w:t>
      </w:r>
    </w:p>
    <w:p>
      <w:r>
        <w:rPr>
          <w:b/>
        </w:rPr>
        <w:t>E. 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im vorinstanzlichen Verfahren mit seinem Begehren um Gewährung der vollständigen Akteneinsicht nur teilweise durchgedrungen, durch den angefochtenen Entscheid mithin auch materiell beschwert und deshalb zur Beschwerde befugt.</w:t>
      </w:r>
    </w:p>
    <w:p>
      <w:r>
        <w:rPr>
          <w:b/>
        </w:rPr>
        <w:t>E. 4</w:t>
      </w:r>
    </w:p>
    <w:p>
      <w:r>
        <w:t>Auf die frist- und formgerecht eingereichte Beschwerde (Art. 50 und 52 VwVG) ist daher grundsätzlich einzutreten. Anzumerken bleibt aber, dass Gegenstand des Beschwerdeverfahrens nur sein kann, was Gegenstand des erstinstanzlichen Verfahrens war. Fragen, über welche die erstinstanzlich verfügende Behörde nicht entschieden hat, darf die zweite Instanz nicht beurteilen, sonst würde in die funktionelle Zuständigkeit der ersten Instanz eingegriffen (ANDRÉ MOSER/MICHAEL BEUSCH/LORENZ KNEUBÜHLER, Prozessieren vor dem Bundesverwaltungsgericht, Basel 2008, S. 25 f. Rz. 2.7 f.). Gegenstand des vorliegenden Verfahrens bildet somit einzig die Frage, ob die Vorinstanz die Akteneinsicht des Beschwerdeführers zu Recht in die in der Verfügung vom 27. Oktober 2008 ausdrücklich genannten Aktenstücke eingeschränkt hat. Insoweit der Beschwerdeführer Einsicht in weitere Vollzugsakten anbegehrt, kann nicht auf die Beschwerde eingetreten werden. Ebenfalls nicht Streitgegenstand im vorliegenden Verfahren bildet die Frage, ob und inwieweit die Vorinstanz dem Beschwerdeführer vor einem Entscheid im zweiten Asylverfahren Akteneinsicht zu gewähren hat.</w:t>
      </w:r>
    </w:p>
    <w:p>
      <w:r>
        <w:rPr>
          <w:b/>
        </w:rPr>
        <w:t>E. 5.1</w:t>
      </w:r>
    </w:p>
    <w:p>
      <w:r>
        <w:t>Das Akteneinsichtsgesuch des Beschwerdeführers bezieht sich vorliegend auf Akten, welche ausserhalb des Asylverfahrens, im Vollzugsverfahren erstellt worden sind. Nach abgeschlossenem Asylverfahren sind die Bestimmungen des DSG uneingeschränkt anwendbar und gehen den Regeln von Art. 26 - 28 VwVG, welche das Akteneinsichtsrecht während des materiellen Verfahrens regeln, vor (vgl. Urteil des Bundesverwaltungsgerichts A-3764/2008 vom 18. Dezember 2008 E. 6.1 mit weiteren Hinweisen). Ob das DSG im Allgemeinen zur Anwendung kommt, hängt davon ab, ob Personendaten bearbeitet werden oder nicht.</w:t>
      </w:r>
    </w:p>
    <w:p>
      <w:r>
        <w:rPr>
          <w:b/>
        </w:rPr>
        <w:t>E. 5.2</w:t>
      </w:r>
    </w:p>
    <w:p>
      <w:r>
        <w:t>Unter Personendaten sind alle Angaben zu verstehen, die sich auf eine bestimmte oder bestimmbare Person beziehen (Art. 3 Bst. a DSG). Dabei ist unter Angaben jede Information zu verstehen, die auf die Vermittlung oder die Aufbewahrung von Kenntnissen ausgerichtet ist. Entscheidend für die Qualifikation als Personendaten ist, dass sich die Angaben einer oder mehreren Personen zuordnen lassen. Eine Person ist dann bestimmt, wenn sich aus der Information selbst ergibt, dass es sich um diese ganz bestimmte Person handelt. Wie der Bezug zur betroffenen Person hergestellt wird, ist jedoch ohne Bedeutung. Als Personendaten gelten auch Angaben, bei denen eine Person bestimmbar ist, weil eine Identifikation durch die Kombination verschiedener Informationen ohne einen unverhältnismässigen Aufwand möglich ist. Ob eine Person bestimmbar ist, muss daher anhand objektiver Kriterien im konkreten Fall beurteilt werden, wobei insbesondere auch die Möglichkeiten der Technik, wie z.B. die beim Internet verfügbaren Suchwerkzeuge, mitzuberücksichtigen sind (URS BELSER, Datenschutzgesetz, Basler Kommentar, 2. Aufl., Basel 2006, [hiernach: BSK DSG], Art. 3, Rz. 4 ff.).</w:t>
      </w:r>
    </w:p>
    <w:p>
      <w:r>
        <w:rPr>
          <w:b/>
        </w:rPr>
        <w:t>E. 5.3</w:t>
      </w:r>
    </w:p>
    <w:p>
      <w:r>
        <w:t>Die streitbetroffenen Aktenstücke beinhalten zweifelsohne Personendaten im Sinne des DSG. So befassen sich die Aktenstücke jeweils mit dem Beschwerdeführer und enthalten dabei seinen Namen, sein Geburtsdatum sowie zum Teil noch weitere Angaben.</w:t>
      </w:r>
    </w:p>
    <w:p>
      <w:r>
        <w:rPr>
          <w:b/>
        </w:rPr>
        <w:t>E. 6.1</w:t>
      </w:r>
    </w:p>
    <w:p>
      <w:r>
        <w:t>Der Beschwerdeführer fordert von der Vorinstanz und Inhaberin der Datensammlung vollständige Einsicht in die Vollzugsakten. Die Vorinstanz gewährte dem Beschwerdeführer zwar Einsicht in die jeweiligen Akten, jedoch wurden dabei die Namen von diversen Drittpersonen abgedeckt. Im Folgenden ist deshalb zu prüfen, ob diese Einschränkung der Akteneinsicht durch die Vorinstanz zu Recht erfolgte.</w:t>
      </w:r>
    </w:p>
    <w:p>
      <w:r>
        <w:rPr>
          <w:b/>
        </w:rPr>
        <w:t>E. 6.2</w:t>
      </w:r>
    </w:p>
    <w:p>
      <w:r>
        <w:t>Das Auskunftsrecht ist in Art. 8 DSG geregelt. Dem Grundsatz nach unterliegen alle Daten in einer Datensammlung über eine Person dem Auskunftsrecht. Dieses erstreckt sich auf alle über eine Person in einer Datensammlung vorhandenen Daten, d.h. auf alle Angaben, die sich auf diese Person beziehen (Art. 3 Bst. a DSG) und ihr zugeordnet werden können (Art. 3 Bst. g DSG). Das DSG sieht zwar keine Auskunftspflicht bezüglich der Beteiligten und Empfänger selbst vor. Da der Gesetzgeber aber im Wesentlichen vermeiden wollte, dass die Datensammlungsinhaber zur systematischen Erfassung der Quellen verpflichtet werden, sind auch die namentlichen Angaben über die Beteiligten, Empfänger und Dritten bei einem direkten Konnex zwischen Persönlichkeit und Personendaten einerseits und dem Kreis der Beteiligten, Empfänger oder Dritten andererseits als Personendaten zu qualifizieren (Ralph Gramigna/Urs Maurer-Lambrou, BSK DSG, a.a.O., Art. 8, Rz. 21, 23, 30).</w:t>
      </w:r>
    </w:p>
    <w:p>
      <w:r>
        <w:rPr>
          <w:b/>
        </w:rPr>
        <w:t>E. 6.2.1</w:t>
      </w:r>
    </w:p>
    <w:p>
      <w:r>
        <w:t>In den in der Verfügung vom 27. Oktober 2008 genannten Akten wurden Namen und z.T. auch Telefonnummern, Kürzel und E-Mailadressen von Mitarbeitern des BFF bzw. des BFM (Abteilung Rückkehr), der indischen, bhutanesischen und schweizerischen Botschaft, des Bundesgrenzschutzamtes Weil am Rhein, der Stadt Bielefeld, des Migrationsdienstes des Kantons Bern und der Kantonspolizei Bern abgedeckt. Auch wurden Angaben betreffend andere Asylverfahren unkenntlich gemacht. Schliesslich wurde auch der Name, die Adresse, die E-Mailadresse und die Telefonnummer des Vertrauensanwaltes der schweizerischen Botschaft in Indien abgedeckt. Damit wurden Angaben von Beteiligten und Dritten abgedeckt, welche als Personendaten grundsätzlich dem Auskunftsrecht unterliegen (vgl. oben E. 6.2).</w:t>
      </w:r>
    </w:p>
    <w:p>
      <w:r>
        <w:rPr>
          <w:b/>
        </w:rPr>
        <w:t>E. 6.3</w:t>
      </w:r>
    </w:p>
    <w:p>
      <w:r>
        <w:t>Das Auskunftsrecht gilt jedoch nicht uneingeschränkt. Nach Art. 9 Abs. 1 Bst. b DSG kann die Auskunft u.a. eingeschränkt werden, wenn es wegen überwiegender Interessen Dritter erforderlich ist. Ein Bundesorgan kann zudem die Auskunft einschränken, wenn es wegen überwiegender öffentlicher Interessen, insbesondere der inneren oder äusseren Sicherheit der Eidgenossenschaft, erforderlich ist (Art. 9 Abs. 2 Bst. a DSG). Überwiegende Interessen Dritter sind dann gegeben, wenn befürchtet werden muss, dass der Gesuchsteller beim Einblick in seine Daten zugleich auch Informationen über Drittpersonen erhält und dadurch die Interessen dieser Drittpersonen verletzt werden könnten. Diesem Interesse kann u.U. damit Genüge getan werden, dass der Name der Drittperson abgedeckt wird. Eine Einschränkung muss zudem immer auf das zeitlich und sachlich unbedingt Notwendige begrenzt werden. Generell ist der Grundsatz der Verhältnismässigkeit zu befolgen (GRAMIGNA/MAURER-LAMBROU, BSK DSG, a.a.O., Art. 9, Rz. 9 und 21).</w:t>
      </w:r>
    </w:p>
    <w:p>
      <w:r>
        <w:rPr>
          <w:b/>
        </w:rPr>
        <w:t>E. 6.3.1</w:t>
      </w:r>
    </w:p>
    <w:p>
      <w:r>
        <w:t>Die Vorinstanz hat dem Umstand, dass Daten Dritter in den Akten des Beschwerdeführers vorkommen, in dem Sinne Rechnung getragen, dass sie diese abgedeckt hat und dann entsprechend Einsicht in die Akten gewährte. Dieses Vorgehen ist in der Lehre und Praxis anerkannt (vgl. GRAMIGNA/MAURER-LAMBROU, BSK DSG, a.a.O., Art. 9, Rz. 21, Urteil des Bundesverwaltungsgerichts A-3764/2008 vom 18. Dezember 2008 E. 9.1) und grundsätzlich nicht zu beanstanden. Zu prüfen bleibt, ob diese Einschränkung des Auskunftsrechts auch verhältnismässig war. Die Abdeckung der Namen der verschiedenen Mitarbeiter bzw. der an andern Verfahren Beteiligten ist geeignet, ihr Interesse an der Geheimhaltung zu wahren. Eine mildere Massnahme um ihre Identität geheimzuhalten, ist nicht ersichtlich. Schliesslich ist eine Abwägung zwischen den Interessen des Beschwerdeführers an der Kenntnis der Namen der Mitarbeiter und dem Interesse der Mitarbeiter an der Geheimhaltung ihrer Namen vorzunehmen. Das Interesse der Mitarbeiter an der Geheimhaltung ihrer Namen ist hoch einzuschätzen. Dagegen ist das Interesse des Beschwerdeführers als grundsätzlich weniger gewichtig zu betrachten (zum Namen des Vertrauensanwaltes vgl. unten E. 6.3.2). Aus den Aktenstücken geht jeweils hervor, welche Ämter die Dokumente verfassten. Es ist kein ernsthafter Grund ersichtlich, warum der Beschwerdeführer auch die Namen der Mitarbeiter der Ämter kennen sollte. Das Interesse an der Geheimhaltung der Namen der verschiedenen Mitarbeiter und der an andern Verfahren Beteiligten ist somit höher zu gewichten.</w:t>
      </w:r>
    </w:p>
    <w:p>
      <w:r>
        <w:rPr>
          <w:b/>
        </w:rPr>
        <w:t>E. 6.3.2</w:t>
      </w:r>
    </w:p>
    <w:p>
      <w:r>
        <w:t>Der Beschwerdeführer behauptet nun aber, dass eine doppelte Tätigkeit eines Mitarbeiters der indischen Botschaft in der Schweiz vorliege, welcher gleichzeitig als Vertrauensanwalt der schweizerischen Botschaft in Indien agiere. Aufgrund dieser Vorbringen fragt sich, ob der Beschwerdeführer allenfalls im Hinblick auf den Mitarbeiter der indischen Botschaft bzw. den Vertrauensanwalt der schweizerischen Botschaft in Indien ein überwiegendes Interesse an der Kenntnis der Namen dieser Personen haben könnte. Aus den dem Bundesverwaltungsgericht vorliegenden - unabgedeckten - Vollzugsakten geht hervor, dass es sich beim Mitarbeiter der indischen Botschaft in der Schweiz und beim Vertrauensanwalt der schweizerischen Botschaft in Indien klarerweise um zwei verschiedene Personen handelt. Der Name des Mitarbeiters der indischen Botschaft wird in den Akten V28/3, V29, V30 genannt, jener des Vertrauensanwalts der schweizerischen Botschaft in Indien in der Akte V33/2. Die Vorbringen des Beschwerdeführers betreffend Doppeltätigkeit treffen deshalb nicht zu. Auch dem in diesem Zusammenhang erhobenen Einwand des Beschwerdeführers, die Vorinstanz habe mit der indischen Botschaft Absprachen getroffen, welche den Beschwerdeführer gefährden würden, kann nicht gefolgt werden. Aus den Akten ergeben sich keinerlei Hinweise auf solche Absprachen. Zudem kann der Beschwerdeführer auch aus dem Aktenstück V35 nichts zu seinen Gunsten ableiten. Aus diesem Grund muss ein überwiegendes Interesse des Beschwerdeführers an der Kenntnis der Namen der beiden Beteiligten verneint werden. Die Einschränkung des Auskunftsrechts ist somit auch im Hinblick auf die Namen des Vertrauensanwaltes und des Mitarbeiters der indischen Botschaft gerechtfertigt. Es kann hierzu auf die Begründung in E. 6.3.1 verwiesen werden.</w:t>
      </w:r>
    </w:p>
    <w:p>
      <w:r>
        <w:rPr>
          <w:b/>
        </w:rPr>
        <w:t>E. 7</w:t>
      </w:r>
    </w:p>
    <w:p>
      <w:r>
        <w:t>Die Beschwerde erweist sich demnach als unbegründet und ist abzuweisen, soweit darauf eingetreten werden kann.</w:t>
      </w:r>
    </w:p>
    <w:p>
      <w:r>
        <w:rPr>
          <w:b/>
        </w:rPr>
        <w:t>E. 8.1</w:t>
      </w:r>
    </w:p>
    <w:p>
      <w:r>
        <w:t>Des Weiteren hat das Bundesverwaltungsgericht zu prüfen, ob dem Beschwerdeführer das Recht auf unentgeltliche Prozessführung zu erteilen ist. Mit Schreiben vom 11. Dezember 2008 beantragte der Beschwerdeführer, es sei auf die Erhebung eines Kostenvorschusses zu verzichten. Er berief sich dabei auf Art. 65 Abs. 1 VwVG und Art. 63 Abs. 4 VwVG. Mit Verfügung vom 12. Dezember 2008 verzichtete das Bundesverwaltungsgericht darauf, einen Kostenvorschuss zu erheben.</w:t>
      </w:r>
    </w:p>
    <w:p>
      <w:r>
        <w:rPr>
          <w:b/>
        </w:rPr>
        <w:t>E. 8.2</w:t>
      </w:r>
    </w:p>
    <w:p>
      <w:r>
        <w:t>Gemäss Art. 65 Abs. 1 VwVG kann eine bedürftige Partei, deren Begehren nicht von vornherein aussichtslos erscheint, auf Gesuch davon befreit werden, Verfahrenskosten zu bezahlen, was auch die Entbindung von der Pflicht zur Leistung eines Vorschusses umfasst.</w:t>
      </w:r>
    </w:p>
    <w:p>
      <w:r>
        <w:rPr>
          <w:b/>
        </w:rPr>
        <w:t>E. 8.2.1</w:t>
      </w:r>
    </w:p>
    <w:p>
      <w:r>
        <w:t>Angesichts des rechtskräftigen Nichteintretensentscheides auf das (erste) Asylgesuch und der Anordnung des Vollzugs der Wegweisung aus der Schweiz erhält der Beschwerdeführer vom Kanton Bern lediglich Nothilfe. Aus den Akten ergibt sich ferner kein Hinweis, dass der Beschwerdeführer bei der Einreise in die Schweiz oder zu einem späteren Zeitpunkt vermögend war. Die Bedürftigkeit ist daher offenkundig.</w:t>
      </w:r>
    </w:p>
    <w:p>
      <w:r>
        <w:rPr>
          <w:b/>
        </w:rPr>
        <w:t>E. 8.2.2</w:t>
      </w:r>
    </w:p>
    <w:p>
      <w:r>
        <w:t>Die vorliegende Beschwerde erschien zudem nicht von vornherein als aussichtslos. Es bedurfte seitens des Gerichts vertiefter Abklärungen, um zu beurteilen, ob die angefochtene Verfügung das Auskunftsrecht des Beschwerdeführers verletzt hat.</w:t>
      </w:r>
    </w:p>
    <w:p>
      <w:r>
        <w:rPr>
          <w:b/>
        </w:rPr>
        <w:t>E. 8.2.3</w:t>
      </w:r>
    </w:p>
    <w:p>
      <w:r>
        <w:t>Demnach ist das Gesuch um Gewährung der unentgeltlichen Rechtspflege im Sinne von Art. 65 Abs. 1 VwVG gutzuheissen und davon abzusehen, Verfahrenskosten zu erheben.</w:t>
      </w:r>
    </w:p>
    <w:p>
      <w:r>
        <w:rPr>
          <w:b/>
        </w:rPr>
        <w:t>E. 9</w:t>
      </w:r>
    </w:p>
    <w:p>
      <w:r>
        <w:t>Eine Parteientschädigung ist bei diesem Ausgang des Verfahrens nicht zu entrichten (Art. 64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