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A-723/2021 vom 8. Dezember 2021</w:t>
      </w:r>
    </w:p>
    <w:p>
      <w:r>
        <w:t>Bundesverwaltungsgericht, 2021-12-08, FR</w:t>
      </w:r>
    </w:p>
    <w:p>
      <w:r>
        <w:rPr>
          <w:b/>
        </w:rPr>
        <w:t xml:space="preserve">Quelle: </w:t>
      </w:r>
      <w:r>
        <w:t>https://mcp.opencaselaw.ch/entscheid/bvger_A-723_2021</w:t>
      </w:r>
    </w:p>
    <w:p>
      <w:r>
        <w:t>FR: TAF A-723/2021 du 8 décembre 2021</w:t>
      </w:r>
    </w:p>
    <w:p>
      <w:r>
        <w:t>IT: TAF A-723/2021 del 8 dicembre 2021</w:t>
      </w:r>
    </w:p>
    <w:p>
      <w:pPr>
        <w:pStyle w:val="Heading2"/>
      </w:pPr>
      <w:r>
        <w:t>Regeste</w:t>
      </w:r>
    </w:p>
    <w:p>
      <w:r>
        <w:t>Emoluments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qui est une unité de l'administration fédérale centrale (cf. art. 33 let. d LTAF, annexe I/B/VII ch. 1.6 de l'ordonnance du 25 novembre 1998 sur l'organisation du gouvernement et de l'administration [OLOGA, RS 172.010.1], par renvoi de son art. 8 al. 1 let. a, satisfait aux conditions prévalant à la reconnaissance d'une décision au sens de l'art. 5 PA, de sorte que le Tribunal est compétent pour connaître de la contestation portée devant lui.</w:t>
      </w:r>
    </w:p>
    <w:p>
      <w:r>
        <w:rPr>
          <w:b/>
        </w:rPr>
        <w:t>E. 1.3</w:t>
      </w:r>
    </w:p>
    <w:p>
      <w:r>
        <w:t>Conformément à l'art. 48 al. 1 PA, le recourant possède la qualité pour recourir en tant que destinataire de la décision attaquée.</w:t>
      </w:r>
    </w:p>
    <w:p>
      <w:r>
        <w:rPr>
          <w:b/>
        </w:rPr>
        <w:t>E. 1.4</w:t>
      </w:r>
    </w:p>
    <w:p>
      <w:r>
        <w:t>Déposé dans le délai (cf. art. 50 al. 1 PA) et les formes (cf. art. 52 al. 1 PA) légaux,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2.3</w:t>
      </w:r>
    </w:p>
    <w:p>
      <w:r>
        <w:t>Cela étant, 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peut se contenter d'inviter le législateur à modifier la disposition en question (ATF 146 II 56 consid. 6.2.2, 144 I 340 consid. 3.2, 139 I 180 consid. 2.2, 136 II 120 consid. 3.5 ; arrêt du TAF A-1078/2019 du 7 juillet 2020 consid. 2.3).</w:t>
      </w:r>
    </w:p>
    <w:p>
      <w:r>
        <w:rPr>
          <w:b/>
        </w:rPr>
        <w:t>E. 3</w:t>
      </w:r>
    </w:p>
    <w:p>
      <w:r>
        <w:t>Le recourant conteste en l'espèce sous plusieurs aspects la légalité de la redevance des entreprises prévue dans la loi fédérale du 24 mars 2006 sur la radio et la télévision (LRTV; RS 784.40).</w:t>
      </w:r>
    </w:p>
    <w:p>
      <w:r>
        <w:rPr>
          <w:b/>
        </w:rPr>
        <w:t>E. 3.1</w:t>
      </w:r>
    </w:p>
    <w:p>
      <w:r>
        <w:t>Selon le principe de légalité, toute action de l'Etat doit reposer sur une base légale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L'article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(art. 127 al. 2 Cst.). Ces exigences (notamment de l'art. 127 al. 1 Cst.) s'appliquent en principe aussi bien aux impôts qu'aux taxes causales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TF 2C_1061/2015 du 9 janvier 2017 consid. 2.1.2 ; dans l'ensemble : arrêts du TAF A-2025/2019 du 24 avril 2020 consid. 1.6.1, A-1378/2019 du 5 décembre 2019 consid. 1.6.1). En revanche, le principe de légalité s'applique strictement en matière d'impôt au sens strict et ne souffre d'aucune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assujettis, l'objet, le montant et la base de calcul de cette contribution (ATF 143 II 227, 136 I 142, 120 Ia 171).</w:t>
      </w:r>
    </w:p>
    <w:p>
      <w:r>
        <w:rPr>
          <w:b/>
        </w:rPr>
        <w:t>E. 3.2</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(art. 93 al. 2 Cst.). L'indépendance de la radio et de la télévision ainsi que l'autonomie dans la conception des programmes sont garanties (art. 93 al. 3 Cst.). Ainsi, l'art. 93 al. 1 Cst. dispose la législation sur la radio et la télévision ainsi que sur les autres formes de diffusion de productions et d'informations ressortissant aux télécommunications publiques relève de la compétence de la Confédération. L'art. 93 Cst.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www.bakom.admin.ch, dernier accès le 20 octobre 2021 ; Ulrich Häfelin/Georg Müller/Felix Uhlmann, Allgemeines Verwaltungsrecht, 8ème éd., Zurich/St-Gall 2020, par. 2874 ; dans l'ensemble : arrêts du TAF A-2902/2019 du 16 décembre 2020 consid. 2.1, A-2025/2019 du 24 avril 2020 consid. 2.1, A-1378/2019 du 5 décembre 2019 consid. 2.1).</w:t>
      </w:r>
    </w:p>
    <w:p>
      <w:r>
        <w:rPr>
          <w:b/>
        </w:rPr>
        <w:t>E. 3.3</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du 24 avril 2020 consid. 2.2.1, A-1378/2019 du 5 décembre 2019 consid. 2.2.1). 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RS 784.401) » (FF 2013 4425, spéc. 4426). La limite prévue de 500 000 francs correspond à la limite de l'obligation de rendre compte selon le nouveau droit comptable (cf. art. 957 al. 1 ch. 1 du Code des obligations suisse du 30 mars 1911 [CO, RS 220]).</w:t>
      </w:r>
    </w:p>
    <w:p>
      <w:r>
        <w:rPr>
          <w:b/>
        </w:rPr>
        <w:t>E. 3.4</w:t>
      </w:r>
    </w:p>
    <w:p>
      <w:r>
        <w:t>Le peuple suisse a approuvé la révision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w:t>
      </w:r>
    </w:p>
    <w:p>
      <w:r>
        <w:rPr>
          <w:b/>
        </w:rPr>
        <w:t>E. 4</w:t>
      </w:r>
    </w:p>
    <w:p>
      <w:r>
        <w:t>Les faits litigieux en l'espèce concernent la perception de redevance des entreprises pour l'année 2020. Cela signifie que la LRTV et l'ordonnance du 9 mars 2007 sur la radio et la télévision (ORTV; RS 784.401), dans leur version respective valable en 2020, sont applicables. Dans ces conditions, les modifications de l'ORTV (nORTV) qui sont entrées en vigueur le 1er janvier 2021 ne sont pas applicables au présent litige.</w:t>
      </w:r>
    </w:p>
    <w:p>
      <w:r>
        <w:rPr>
          <w:b/>
        </w:rPr>
        <w:t>E. 4.1</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A-2902/2019 du 16 décembre 2020 consid. 2.3.1, A-2025/2019 du 24 avril 2020 consid. 2.3.1, A-1378/2019 du 5 décembre 2019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4.2</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(cf.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4.3</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également « CA ») à: CA en CHF Redevance en CHF en % du CA Tranche 1 500'000 à 999'999 365 0,07 à 0,04 Tranche 2 1'000'000 à 4'999'999 910 0,09 à 0,02 Tranche 3 5'000'000 à 19'999'999 2'280 0,05 à 0,01 Tranche 4 20'000'000 à 99'999'999 5'750 0,03 à 0,006 Tranche 5 100'000'000 à 999'999'999 14'240 0,01 à 0,0014 Tranche 6 1'000'000'000 et plus 35'590 0.0036</w:t>
      </w:r>
    </w:p>
    <w:p>
      <w:r>
        <w:rPr>
          <w:b/>
        </w:rPr>
        <w:t>E. 4.3.1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w:t>
      </w:r>
    </w:p>
    <w:p>
      <w:r>
        <w:rPr>
          <w:b/>
        </w:rPr>
        <w:t>E. 4.3.2</w:t>
      </w:r>
    </w:p>
    <w:p>
      <w:r>
        <w:t>La nature juridique de la nouvelle redevance sur la radio et la télévision, perçue depuis 2019 a été précisée dans un arrêt récent (arrêt du TAF A-2902/2019 du 16 décembre 2020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étant prise comme base pour des raisons de praticabilité. Il s'en suit dès lors que les principes applicables aux impôts doivent être respectés (cf. arrêt du TAF A-2902/2019 du 16 décembre 2020 consid. 2.6.3 et 2.6.7 in fine).</w:t>
      </w:r>
    </w:p>
    <w:p>
      <w:r>
        <w:rPr>
          <w:b/>
        </w:rPr>
        <w:t>E. 5</w:t>
      </w:r>
    </w:p>
    <w:p>
      <w:r>
        <w:t>En l'espèce, il s'agit d'examiner si l'autorité inférieure a correctement déterminé le montant de la redevance radio-télévision des entreprises due par le recourant pour la période fiscale 2020.</w:t>
      </w:r>
    </w:p>
    <w:p>
      <w:r>
        <w:rPr>
          <w:b/>
        </w:rPr>
        <w:t>E. 5.1</w:t>
      </w:r>
    </w:p>
    <w:p>
      <w:r>
        <w:t>Le recourant considère premièrement que la redevance Radio-TV est une taxe causale. Dès lors qu'il ne bénéficierait d'aucune contrepartie étant donné qu'il ne possède ni télévision ni radio au sein de son entreprise, il s'agirait ici pour la Cour de céans de constater que la redevance 2020 n'est pas due. Il considère en outre que, si par impossible le Tribunal ne devait pas constater son exonération, le montant de la redevance lui ayant été facturé ne tient pas compte de sa capacité contributive et violerait le principe de l'égalité de traitement. Le recourant expose ensuite que ne reposant sur aucun motif sérieux et objectif, la redevance des entreprises est déterminée et imposée de manière arbitraire et en violation de l'art. 9 Cst. A l'appui de cette affirmation, il explique que le Conseil fédéral aurait fixé le montant et les tranches tarifaires de la redevance des entreprises sans prendre en considération la situation personnelle des entreprises, notamment leur capacité contributive effective. Selon lui, la LRTV aurait de plus prescrit de façon aléatoire que les entreprises non soumises à la TVA doivent être exemptées de la redevance radio-télévision et peine ainsi comprendre sur quel motif sérieux et objectif se fonde cette distinction. Enfin, il considère faire l'objet d'une « double taxation inadmissible » dès lors qu'il se voit contraint de payer aussi bien une redevance pour ménage qu'une redevance pour entreprise, ce qui serait selon ses dires manifestement inadmissible</w:t>
      </w:r>
    </w:p>
    <w:p>
      <w:r>
        <w:rPr>
          <w:b/>
        </w:rPr>
        <w:t>E. 5.2.1</w:t>
      </w:r>
    </w:p>
    <w:p>
      <w:r>
        <w:t>A titre liminaire, la Cour relève que le principe de légalité revêt une importance particulière en droit fiscal. Celui-ci requiert que toute action étatique repose sur une base légale d'un niveau normatif et d'une densité normative suffisants (cf. consid. 3.1 ci-avant). Comme expliqué ci-avant également, la redevance ici litigieuse doit être qualifiée d'impôt au sens strict (cf. consid. 4.3.2). Celle-ci est ancrée dans l'art. 68 al. 1 et 2 LRTV et est réglementée dans les art. 70 et suivants ORTV. Cette loi est à son tour basée sur à l'art. 93 Cst., qui non seulement accorde à la Confédération une compétence législative étendue, mais l'oblige aussi, pour ainsi dire, à veiller à l'accomplissement, d'assurer l'exécution du mandat de prestations constitutionnel et d'en garantir le financement (cf. consid. 3.2 ci-avant). Même si cette base constitutionnelle devait être qualifiée d'insuffisante pour la perception d'un impôt en raison de sa faible densité normative, les dispositions de la LRTV, en tant que loi fédérale, devraient cependant être appliquées par la Cour de céans sur la base de l'art. 190 Cst. (cf. consid. 2.3 ci-avant). Au surplus, il y a lieu de considérer que l'art. 70 LRTV fixe, au moins dans les grandes lignes, le cercle des assujettis, l'objet, le montant et la base de calcul de cette contribution. Il y est en effet indiqué que le cercle des assujettis est formé des entreprises assujetties à la TVA, sous réserve de petites entreprises exemptées, que le montant de la redevance est fixé selon le chiffre d'affaires, selon un barème qui doit être progressif (catégories tarifaires). Il y a donc lieu d'admettre que l'art. 70 al. 3 LRTV constitue une base légale suffisante.</w:t>
      </w:r>
    </w:p>
    <w:p>
      <w:r>
        <w:rPr>
          <w:b/>
        </w:rPr>
        <w:t>E. 5.2.2</w:t>
      </w:r>
    </w:p>
    <w:p>
      <w:r>
        <w:t>En l'occurrence, le dossier révèle que le recourant exploite une raison individuelle inscrite au registre des assujettis TVA au cours de la période fiscale 2020 et répond ainsi à la définition d'entreprise de l'art 70 al. 2 LRTV selon lequel une « entreprise » est une personne inscrite auprès de l'AFC dans le registre des personnes assujetties à la TVA (cf. consid. 4.5 ci-avant). En outre, il découle de l'art. 70 al. 1 LRTV qu'une telle entreprise est soumise à la redevance si elle a réalisé le chiffre d'affaires minimal fixé par le Conseil fédéral au cours de la période fiscale achevée l'année civile précédente. Ainsi, pour déterminer si le recourant est assujetti à la redevance radio et télévision pour les entreprises pour la période fiscale 2020, est uniquement déterminant le fait que ce dernier ait été assujettie à la TVA et ait réalisé un chiffre d'affaires supérieur à CHF 500'000.-- durant la période fiscale s'étendant du 1er janvier au 31 décembre 2019 (cf. consid. 4.5. et 4.6 ci-avant). Or, tel est bien le cas ici. De plus, et cela n'est pas contesté d'ailleurs, le recourant était assujetti à la TVA du 1er janvier au 31 décembre 2019 et a déclaré pour cette période un chiffre d'affaire total de CHF 1'091'199.94.--. C'est ainsi à raison que l'autorité inférieure lui a facturé la redevance radio-TV pour les entreprises 2020. Le grief étant mal fondé, il s'agit ici de le rejeter.</w:t>
      </w:r>
    </w:p>
    <w:p>
      <w:r>
        <w:rPr>
          <w:b/>
        </w:rPr>
        <w:t>E. 5.2.3</w:t>
      </w:r>
    </w:p>
    <w:p>
      <w:r>
        <w:t>S'agissant de la distinction entre les entreprises soumises et exemptées de TVA ainsi que de l'allégation de double imposition prohibée, il y a lieu d'exposer ce qui suit. Une entreprise est astreinte au paiement de la redevance à la condition que ses revenus soient soumis au moins partiellement à la TVA. Celles dont le chiffre d'affaires est totalement exempté de la TVA, et qui ne sont donc pas enregistrées en tant que personnes imposables auprès de l'AFC, ne peuvent être assujetties au paiement de la redevance. Cette disposition concerne surtout les entreprises actives dans les domaines de la santé, des affaires sociales, de la formation, de la culture et du sport, des finances et des assurances, du commerce immobilier et de location, de l'agriculture et des jeux de hasard. Cela étant, un grand nombre de celles dont les prestations sont exclues du champ de la TVA sont néanmoins enregistrées par l'AFC comme assujetties pour d'autres prestations imposables, ce qui permet de percevoir la redevance auprès de ces entreprises-là également (Message du Conseil fédéral du 29 mai 2013 ; FF 2013 4437). Dans ses arrêts A-1078/2019 du 7 juillet 2020 (cf. consid. 3.3.3.1) et A1378/2019 du 5 décembre 2019 (cf. consid. 3.4.1.2 et réf. cit.), le Tribunal de céans a considéré que la redevance en question ne constituait pas (seulement) une compensation pour la consommation effective des programmes de radio et de télévision. Au contraire, cette redevance finance un bien garanti par la Constitution, à savoir un approvisionnement en informations indépendant et de qualité via la radio et la télévision. Ce bien est en soi - et pour une démocratie directe en particulier - de la plus grande importance et constitue en fin de compte un facteur essentiel pour une place économique suisse stable, fonctionnant bien et donc attractive pour les entreprises. En d'autres termes, ce ne sont pas seulement les personnes physiques qui profitent d'un système de radiodiffusion fonctionnel et indépendant, mais également les personnes morales, ce qui justifie que ces dernières y contribuent également de manière appropriée. Il en va de même pour les entreprises qui, selon leurs propres déclarations, ne consomment jamais de programme suisse, d'autant plus que ces entreprises bénéficient elles aussi de la stabilité de l'Etat et de l'économie qui résulte d'un système de radiodiffusion fonctionnel. Enfin il ne saurait y avoir ici une double imposition prohibée dès lors que nous sommes face ici à deux sujets fiscaux différents. L'un étant l'entreprise individuelle exploitée par le recourant, le second le ménage privé du recourant. En effet, selon l'art. 68 al. 2, la redevance est perçue par ménage et par entreprise (cf. consid. 4.1 ci-avant). Durant le processus législatif, la motion 10.3014 (BO 2011 1360 ss) avait été déposée et demandait à que « les petites entreprises se consacrant à l'artisanat, à la fabrication, à la prestation de services ou à l'agriculture » soient exemptées de la redevance. Il s'agissait d'éviter que les petites entreprises, souvent gérées dans un cadre familial, soient contraintes de payer à la fois la redevance pour les ménages et celle pour les entreprises, et donc soumises à une double taxation intolérable. Le Conseil fédéral a répondu à cette exigence en fixant un chiffre d'affaires annuel seuil de 500 000 francs. Plus de 70 % des entreprises sont ainsi exonérées. Une même limite figure par ailleurs dans le nouveau droit comptable, en vertu duquel les entreprises sont tenues de tenir une comptabilité dès ce montant (message du 29 mai 2013 ; FF 2013 4459). Le grief étant également mal fondé, il s'agit ici de le rejeter. On soulignera ici au surplus que la problématique évoquée par le recourant a été prise en considération par le Parlement, puisqu'à partir du 1er janvier 2021, les sociétés simples ne sont plus considérées comme des entreprises et ne sont donc pas soumises à la redevance (RO 2021 239; FF 2020 4385). Cette novelle n'est cependant, comme déjà expliqué (cf. supra consid. 4), pas applicable au litige ici en cause, à savoir pour la période fiscale 2020. Elle ne saurait donc permettre l'admission du présent recours.</w:t>
      </w:r>
    </w:p>
    <w:p>
      <w:r>
        <w:rPr>
          <w:b/>
        </w:rPr>
        <w:t>E. 5.2.4</w:t>
      </w:r>
    </w:p>
    <w:p>
      <w:r>
        <w:t>S'agissant des questions relatives à la qualification juridique de la nouvelle redevance sur la radio et la télévision ainsi que du critère retenu pour déterminer le montant de la taxe, le Tribunal rappelle que sa nature a été précisée dans un arrêt récent (cf. consid. 4.3.2 ci-avant ; TAF A-2902/2019 du 16 décembre consid. 2.6.3 et 2.6.7 in fine). Il en découle que celle-ci est impôt et non une taxe causale. Concrètement, ce n'est pas le fait de pouvoir recevoir des services ou des prestations radiophoniques ou télévisées qui engendre l'obligation de s'acquitter d'une redevance pour les entreprises. Cette obligation se fonde au contraire sur un critère d'assujettissement territorial puisque toutes les entreprises en Suisse, assujetties à la TVA et réalisant un certain chiffre d'affaires minimum, sont en principe soumises à dite redevance. En d'autres termes, la redevance étant un impôt et non une taxe causale, elle n'est pas prélevée en échange d'un service spécial. Comme cela a déjà été jugé par la Cour de céans (arrêt du TAF A-2902/2019 du 16 décembre 2020 consid. 3.3.2), il résulte sans ambiguïté de la disposition légale précitée que le montant de la redevance est fixé d'après le chiffre d'affaires à déclarer conformément à la loi sur la taxe sur la valeur ajoutée. Dans le cadre du changement de système vers une redevance indépendante de l'appareil pour la radio et la télévision, une attention particulière a été accordée à la perception la plus simple possible avec le moins d'efforts administratifs possible, tant de la part de la société de perception que des entreprises. Il convient donc d'éviter les examens au cas par cas et de reprendre les faits déjà recueillis par d'autres autorités (FF 2013 4425). Le fait de prendre en considération d'autres facteurs que le chiffre d'affaires, irait à l'encontre de cet objectif de manière significative et n'a donc pas été prévu. L'élément déterminant est que le législateur a voulu que le chiffre d'affaires total soumis à la TVA. Certes un chiffre d'affaires plus important ne signifie pas automatiquement une capacité contributive plus grande. Cette situation a cependant été voulue par le législateur qui a accepté une part de schématisme dans la détermination de l'assiette imposable. Il n'y a donc pas lieu de s'écarter de cette détermination. Le grief étant mal fondé, il s'agit ici de le rejeter.</w:t>
      </w:r>
    </w:p>
    <w:p>
      <w:r>
        <w:rPr>
          <w:b/>
        </w:rPr>
        <w:t>E. 6</w:t>
      </w:r>
    </w:p>
    <w:p>
      <w:r>
        <w:t>Il découle des considérants qui précèdent que la base de calcul correspondant à la période 2020 ainsi que le montant de la redevance ont correctement été établis par l'autorité inférieure dans la décision entreprise. Celle-ci doit donc être confirmée et le recours rejeté. Vu l'issue de la cause, les frais de procédure, par CHF 300.--,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au recourant (cf. art. 64 al. 1 PA a contrario et art. 7 al. 1 FITAF a contrario), ni à l'autorité inférieure (cf. art. 7 al. 3 FITAF).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