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A-720/2013 vom 30. Januar 2014</w:t>
      </w:r>
    </w:p>
    <w:p>
      <w:r>
        <w:t>Bundesverwaltungsgericht, 2014-01-30, DE</w:t>
      </w:r>
    </w:p>
    <w:p>
      <w:r>
        <w:rPr>
          <w:b/>
        </w:rPr>
        <w:t xml:space="preserve">Quelle: </w:t>
      </w:r>
      <w:r>
        <w:t>https://mcp.opencaselaw.ch/entscheid/bvger_A-720_2013</w:t>
      </w:r>
    </w:p>
    <w:p>
      <w:r>
        <w:t>FR: TAF A-720/2013 du 30 janvier 2014</w:t>
      </w:r>
    </w:p>
    <w:p>
      <w:r>
        <w:t>IT: TAF A-720/2013 del 30 gennaio 2014</w:t>
      </w:r>
    </w:p>
    <w:p>
      <w:pPr>
        <w:pStyle w:val="Heading2"/>
      </w:pPr>
      <w:r>
        <w:t>Regeste</w:t>
      </w:r>
    </w:p>
    <w:p>
      <w:r>
        <w:t>Mehrwertsteuer</w:t>
      </w:r>
    </w:p>
    <w:p>
      <w:pPr>
        <w:pStyle w:val="Heading2"/>
      </w:pPr>
      <w:r>
        <w:t>Erwägungen</w:t>
      </w:r>
    </w:p>
    <w:p>
      <w:r>
        <w:rPr>
          <w:b/>
        </w:rPr>
        <w:t>E. 1</w:t>
      </w:r>
    </w:p>
    <w:p>
      <w:r>
        <w:t>1.1 Gemäss Art. 31 des Bundesgesetzes vom 17. Juni 2005 über das Bundesverwaltungsgericht (VGG, SR 173.32) beurteilt das Bundesverwaltungsgericht Beschwerden gegen Verfügungen nach Art. 5 des Bundesgesetzes vom 20. Dezember 1968 über das Verwaltungsverfahren (VwVG, SR 172.021). Eine Ausnahme nach Art. 32 VGG liegt nicht vor. Die Vorinstanz ist zudem eine Behörde im Sinn von Art. 33 VGG. Das Bundesverwaltungsgericht ist demnach für die Beurteilung der vorliegenden Beschwerde sachlich zuständig.</w:t>
      </w:r>
    </w:p>
    <w:p>
      <w:r>
        <w:rPr>
          <w:b/>
        </w:rPr>
        <w:t>E. 1.2</w:t>
      </w:r>
    </w:p>
    <w:p>
      <w:r>
        <w:t>Auf die funktionelle Zuständigkeit ist im Folgenden einzugehen, wobei zunächst das anwendbare Recht festzustellen ist:</w:t>
      </w:r>
    </w:p>
    <w:p>
      <w:r>
        <w:rPr>
          <w:b/>
        </w:rPr>
        <w:t>E. 1.2.1</w:t>
      </w:r>
    </w:p>
    <w:p>
      <w:r>
        <w:t>Am 1. Januar 2010 ist das Bundesgesetz vom 12. Juni 2009 über die Mehrwertsteuer (MWSTG, SR 641.20) in Kraft getreten. Gemäss dessen Art. 112 Abs. 1 sind die bisherigen gesetzlichen Bestimmungen sowie die darauf gestützt erlassenen Vorschriften - von hier nicht interessierenden Ausnahmen abgesehen - weiterhin auf alle während ihrer Geltungsdauer eingetretenen Tatsachen und entstandenen Rechtsverhältnisse anwendbar. Im Streit liegen Steuernachforderungen, welche Steuerperioden nach dem 1. Januar 2001 aber vor dem 1. Januar 2010 betreffen. Die materielle Beurteilung des vorliegenden Sachverhalts richtet sich daher nach dem Bundesgesetz vom 2. September 1999 über die Mehrwertsteuer (aMWSTG, AS 2000 1300), das vom 1. Januar 2001 bis zum 31. Dezember 2009 in Kraft stand. In verfahrensrechtlicher Hinsicht ist hingegen das neue Recht anwendbar (Art. 113 Abs. 3 MWSTG).</w:t>
      </w:r>
    </w:p>
    <w:p>
      <w:r>
        <w:rPr>
          <w:b/>
        </w:rPr>
        <w:t>E. 1.2.2</w:t>
      </w:r>
    </w:p>
    <w:p>
      <w:r>
        <w:t>Streitgegenstand des Beschwerdeverfahrens kann nur sein, was bereits im vorinstanzlichen Verfahren strittig war. Rechtspositionen, über welche die Vorinstanz nicht entschieden hat und über die sie nach richtiger Gesetzesauslegung auch nicht hätte entscheiden müssen, sind aus Gründen der funktionellen Zuständigkeit durch die zweite Instanz nicht zu beurteilen (vgl. Urteile des Bundesgerichts 2C_687/2007 vom 8. April 2008 E. 1.2.1, 2C_572/2007 vom 23. Januar 2008 E. 1.3, 2A.706/2006 vom 1. März 2007 E. 1.3). Das durch die Verfügung geregelte Rechtsverhältnis (sog. Anfechtungsobjekt) bildet insofern den Rahmen innerhalb dessen sich der Streitgegenstand durch die Parteianträge definiert. Für den Fall, dass das Bundesverwaltungsgericht im vorliegenden Verfahren zum Schluss kommen sollte, dass die Nachbelastung im angefochtenen "Einspracheentscheid" zu Recht erfolgt ist, beantragt die Beschwerdeführerin - sinngemäss eventualiter -, dass der entsprechende Mehrwertsteuerbetrag der C._______ AG, welche diesen angeblich schon bezahlt habe, zurückzuerstatten sei. Die Beschwerdeführerin verkennt dabei, dass vorliegend einzig Steuernachforderungen strittig sind, die sie betreffen. Allein ihr gegenüber hat die Vorinstanz im angefochtenen "Einspracheentscheid" auf eine Nachbelastung erkannt. Die (eventualiter) beantragte Steuerrückerstattung betrifft dagegen die mehrwertsteuerlichen Verhältnisse der C._______ AG. Diesbezüglich liegt mit dem angefochtenen "Einspracheentscheid" nun aber kein taugliches Anfechtungsobjekt vor, weshalb auf den erwähnten Eventualantrag nicht einzutreten ist. Es würde der C._______ AG obliegen, im Rahmen der rechtlichen Möglichkeiten die Richtigkeit der - behaupteten zweifachen - Mehrwertsteuerbelastung mit der ESTV zu überprüfen. 1.2.31.2.3.1 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 1.2.3.2 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6606/2012 vom 30. Januar 2013 E. 2 ff.). 1.2.3.3 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Nr. ... vom 22. Februar 2012. Indessen ist es nach neuerer Rechtsprechung des Bundesverwaltungsgerichts grundsätzlich nicht zulässig, eine Einschätzungsmitteilung direkt als Verfügung im Sinn von Art. 5 VwVG auszugestalten (vgl. Urteil des Bundesverwaltungsgerichts A-707/2013 vom 25. Juli 2013 E. 4.2 f. mit Hinweisen). Vorliegend stellt aber jedenfalls der als "Einspracheentscheid" bezeichnete Entscheid der ESTV vom 14. Januar 2013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14. Januar 2013 einlässlich begründet ist (vgl. Urteil des Bundesverwaltungsgerichts A 6198/2012 vom 3. September 2013 E. 1.2.3 mit Hinweis).</w:t>
      </w:r>
    </w:p>
    <w:p>
      <w:r>
        <w:rPr>
          <w:b/>
        </w:rPr>
        <w:t>E. 1.2.4</w:t>
      </w:r>
    </w:p>
    <w:p>
      <w:r>
        <w:t>Das Bundesverwaltungsgericht ist demnach - vorbehältlich der Einschränkung unter E. 1.2.2 - für die Beurteilung der vorliegenden Beschwerde auch funktional zuständig.</w:t>
      </w:r>
    </w:p>
    <w:p>
      <w:r>
        <w:rPr>
          <w:b/>
        </w:rPr>
        <w:t>E. 1.3</w:t>
      </w:r>
    </w:p>
    <w:p>
      <w:r>
        <w:t>Im Übrigen ist die Beschwerdeführerin zur Erhebung der vorliegenden Beschwerde berechtigt (Art. 48 Abs. 1 VwVG), hat diese frist- und formgerecht eingereicht (Art. 50 Abs. 1 und Art. 52 Abs. 1 VwVG) und den einverlangten Kostenvorschuss rechtzeitig geleistet (vgl. Art. 21 Abs. 3 VwVG). Auf die vorliegende Beschwerde ist - vorbehältlich der Einschränkung unter E. 1.2.2 - einzutreten.</w:t>
      </w:r>
    </w:p>
    <w:p>
      <w:r>
        <w:rPr>
          <w:b/>
        </w:rPr>
        <w:t>E. 1.4</w:t>
      </w:r>
    </w:p>
    <w:p>
      <w:r>
        <w:t>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veröffentlicht in: Archiv für Schweizerisches Abgaberecht [ASA] 81 S. 422; Urteil des Bundesverwaltungsgerichts A 4206/2012 vom 13. März 2013 E. 2.2.1 mit Hinweisen; ERNST BLUMENSTEIN/PETER LOCHER, System des schweizerischen Steuerrechts, 6. Aufl., Zürich 2002, S. 454).</w:t>
      </w:r>
    </w:p>
    <w:p>
      <w:r>
        <w:rPr>
          <w:b/>
        </w:rPr>
        <w:t>E. 2</w:t>
      </w:r>
    </w:p>
    <w:p>
      <w:r>
        <w:t>2.1 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Wer mehrwertsteuerlich als Leistungserbringer zu gelten hat, bestimmt sich nach konstanter Rechtsprechung nach dem Aussenauftritt. Das mehrwertsteuerlich relevante Handeln wird demnach demjenigen zugeordnet, der gegenüber Dritten im eigenen Namen auftritt (vgl. statt vieler: Urteil des Bundesverwaltungsgerichts A 4786/2012 vom 12. September 2013 E. 2.2.3; vgl. auch Urteile des Bundesverwaltungsgerichts A 1382/2006 und A-1383/2006 vom 19. Juli 2007 E. 2.2, bestätigt mit Urteilen des Bundesgerichts 2C_518/2007 und 2C_519/2007 vom 11. März 2008).</w:t>
      </w:r>
    </w:p>
    <w:p>
      <w:r>
        <w:rPr>
          <w:b/>
        </w:rPr>
        <w:t>E. 2.3</w:t>
      </w:r>
    </w:p>
    <w:p>
      <w:r>
        <w:t>Die Veranlagung und Entrichtung der Mehrwertsteuer erfolgt nach dem Selbstveranlagungsprinzip (Art. 46 f. aMWSTG; vgl. Urteil des Bundesgerichts 2C_356/2008 vom 21. November 2008 E. 3.2; Urteil des Bundesverwaltungsgerichts A-825/2013 vom 16. Oktober 2013 E. 2.3).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und 2A.109/2005 vom 10. März 2006 E. 2.1; vgl. ferner Urteile des Bundesverwaltungsgerichts A 1344/2011 und A-3285/2011 vom 26. September 2011 E. 3.1 sowie A 5460/2008 vom 12. Mai 2010 E. 2.5.1).</w:t>
      </w:r>
    </w:p>
    <w:p>
      <w:r>
        <w:rPr>
          <w:b/>
        </w:rPr>
        <w:t>E. 2.4</w:t>
      </w:r>
    </w:p>
    <w:p>
      <w:r>
        <w:t>2.4.1 Das Prinzip der Massgeblichkeit der Handelsbilanz gilt im Bereich der Mehrwertsteuer grundsätzlich ebenso wie direktsteuerlich (vgl. Urteil des Bundesgerichts 2C_650/2011 vom 16. Februar 2012 E. 2.5.1). Danach ist die (formell und materiell) ordnungsgemässe handelsrechtliche Bilanz auch steuerlich massgebend, insoweit keine steuerlichen Korrekturvorschriften zu beachten sind (Art. 957 ff. des Bundesgesetzes vom 30. März 2011 betreffend die Ergänzung des Schweizerischen Zivilgesetzbuches [OR, SR 220]; vgl. Blumenstein/Locher, a.a.O., S. 269; Roland Burkhalter, Massgeblichkeitsgrundsatz, Bern/Stuttgart/Wien 2003, S. 63 ff.). Für die Zwecke der Mehrwertsteuer präzisiert Art. 58 aMWSTG, dass die steuerpflichtige Person ihre Geschäftsbücher ordnungsgemäss zu führen und so einzurichten hat, dass sich aus ihnen die für die Feststellung der Steuerpflicht sowie für die Berechnung der Mehrwertsteuer und der abziehbaren Vorsteuern massgebenden Tatsachen leicht und zuverlässig ermitteln lassen (vgl. Urteile des Bundesgerichts 2C_650/2011 vom 16. Februar 2012 E. 2.5.1, 2A.693/2006 vom 26. Juli 2007 E. 3).</w:t>
      </w:r>
    </w:p>
    <w:p>
      <w:r>
        <w:rPr>
          <w:b/>
        </w:rPr>
        <w:t>E. 2.4.2</w:t>
      </w:r>
    </w:p>
    <w:p>
      <w:r>
        <w:t>Gemäss höchstrichterlicher Rechtsprechung ist eine formell korrekte Buchhaltung vermutungsweise auch materiell richtig (vgl. BGE 134 II 207 E. 3.3, BGE 106 Ib 311 E. 3c und 3d; Urteile des Bundesgerichts 2C_206/2012 vom 6. September 2012 E. 2.3, 2C_592/2007 vom 22. Januar 2008 E. 2.3). Fehlt es an einer formell ordnungsgemässen Buchführung oder bestehen Anhaltspunkte, welche auf die (materielle) Unrichtigkeit der Geschäftsbücher schliessen lassen, entfällt auch die natürliche Vermutung der materiellen Richtigkeit (vgl. Urteile des Bundesgerichts 2C_1173/2012 vom 28. Juni 2013 E. 3.1 mit Hinweis, 2C_512/2007 vom 24. Januar 2008 E. 3.3, 2A.426/2004 vom 23. November 2004 E. 2.3).</w:t>
      </w:r>
    </w:p>
    <w:p>
      <w:r>
        <w:rPr>
          <w:b/>
        </w:rPr>
        <w:t>E. 2.4.3</w:t>
      </w:r>
    </w:p>
    <w:p>
      <w:r>
        <w:t>Im Bereich der Mehrwertsteuer ist nach konstanter Rechtsprechung nicht in erster Linie die Sichtweise der Buchführung, sondern die wirtschaftliche und tatsächliche Betrachtungsweise massgebend. Das Massgeblichkeitsprinzip steht daher dem Nachweis, dass die buchhalterische Erfassung von Leistungen nicht der wirtschaftlichen Realität entspricht, nicht entgegen (vgl. Urteile des Bundesverwaltungsgerichts A 6182/2012 vom 27. August 2013 E. 3.5, A 3579/2008 vom 17. Juli 2010 E. 3.3, A 1601/2006 vom 4. März 2010 E. 3.2.2; Entscheide der Eidgenössischen Steuerrekurskommission [SRK] vom 13. Dezember 2004 [SRK 2003-098] E. 4b, bestätigt durch das Urteil des Bundesgerichts 2A.65/2005 vom 17. Oktober 2005, sowie vom 24. September 2003 [SRK 2003 021] E. 4c, bestätigt durch das Urteil des Bundesgerichts 2A.520/2003 vom 29. Juni 2004).</w:t>
      </w:r>
    </w:p>
    <w:p>
      <w:r>
        <w:rPr>
          <w:b/>
        </w:rPr>
        <w:t>E. 2.5</w:t>
      </w:r>
    </w:p>
    <w:p>
      <w:r>
        <w:t>Auf Verlangen des steuerpflichtigen Empfängers hat die steuerpflichtige Person über ihre Lieferung oder Dienstleistung eine Rechnung mit den gesetzlich definierten Angaben auszustellen (Art. 37 Abs. 1 aMWSTG). Gutschriften und andere Dokumente, welche im Geschäftsverkehr Rechnungen ersetzen, sind solchen Rechnungen gleichgestellt, wenn sie die Angaben nach Art. 37 Abs. 1 aMWSTG enthalten (Art. 37 Abs. 3 aMWSTG). Im Mehrwertsteuerrecht wird der Rechnung zentrale Bedeutung beigemessen. Sie ist nicht ein reiner Buchungsbeleg, sondern stellt ein wichtiges Indiz dafür dar, dass der Aussteller auch Leistungserbringer ist und die mehrwertsteuerlich relevante Handlung tatsächlich erbracht hat. Gleichzeitig erklärt der Rechnungssteller dem -empfänger, dass er die ausgewiesene Mehrwertsteuer der ESTV abgeliefert hat oder noch abliefern wird. So bildet die Rechnung dem Empfänger Ausweis dafür, auf der Leistung laste die angegebene Steuer und berechtige ihn direkt zum entsprechenden Vorsteuerabzug (BGE 131 II 185 E. 5; Urteil des Bundesgerichts 2C_285/2008 vom 29. August 2008 E. 3.2; Urteil des Bundesverwaltungsgerichts A-5274/2011 vom 19. März 2013 E. 3.3).</w:t>
      </w:r>
    </w:p>
    <w:p>
      <w:r>
        <w:rPr>
          <w:b/>
        </w:rPr>
        <w:t>E. 3</w:t>
      </w:r>
    </w:p>
    <w:p>
      <w:r>
        <w:t>Im vorliegenden Fall macht die Beschwerdeführerin sinngemäss geltend, es seien steuerbare Umsätze, welche die C._______ AG erzielt, verbucht und bereits ordnungsgemäss deklariert und versteuert habe, versehentlich auch in ihrer Buchhaltung (Jahresrechnung 2009) erfasst worden. Da es nicht zulässig sei, denselben Umsatz zwei Mal zu besteuern, sei die Nachbelastung im angefochtenen "Einspracheentscheid" insoweit zu reduzieren, als der Beschwerdeführerin darin die Mehrwertsteuer auf den fraglichen (angeblich doppelt verbuchten) Umsätzen nachbelastet werde.</w:t>
      </w:r>
    </w:p>
    <w:p>
      <w:r>
        <w:rPr>
          <w:b/>
        </w:rPr>
        <w:t>E. 3.1</w:t>
      </w:r>
    </w:p>
    <w:p>
      <w:r>
        <w:t>Die Beschwerdeführerin hat als Aktiengesellschaft und Steuerpflichtige ihre Bücher nach Handelsrecht sowie nach Art. 58 Abs. 1 aMWSTG ordnungsgemäss zu führen. Gemäss dem Prinzip der Massgeblichkeit der Handelsbilanz, das grundsätzlich auch im Bereich der Mehrwertsteuer gilt, ist die (formell und materiell) ordnungsgemässe handelsrechtliche Buchführung auch steuerlich massgebend (E. 2.4.1). Mit Blick darauf stützte sich die ESTV bei der Ermittlung der strittigen Nachbelastung auf die (unbestrittenermassen) revidierte und (offenbar) von der zuständigen Generalversammlung genehmigte Jahresrechnung 2009 (Bilanz und Erfolgsrechnung, umfassend den Zeitraum vom 21. April 2008 bis 31. Dezember 2009) der Beschwerdeführerin. Der ebenfalls herangezogene "Bericht der Revisionsstelle [der Beschwerdeführerin] zur Eingeschränkten Revision der Jahresrechnung 2009" vom 29. September 2010 hält fest, dass bei der betreffenden Revision keine Sachverhalte festgestellt worden seien, aus denen hätte geschlossen werden müssen, dass die fragliche Jahresrechnung Gesetz oder Statuten widerspräche. Die Beschwerdeführerin macht weder geltend noch ergibt sich aus den vorliegenden Akten, dass sie die ESTV anlässlich der fraglichen Kontrolle oder zumindest vor Erlass der strittigen Nachbelastung auf die angeblich falsch bzw. doppelt verbuchten Umsätze in der fraglichen Buchhaltung aufmerksam gemacht hätte. Auch sonst lassen sich den vorliegenden Akten keine Anhaltspunkte entnehmen, wonach die ESTV im Zeitpunkt der strittigen Nachbelastung nicht hätte von einer ordnungsgemässen Buchführung ausgehen bzw. die materielle Richtigkeit der entsprechenden Unterlagen nicht hätte vermuten dürfen (vgl. E. 2.4.2). Die ESTV war demnach berechtigt, für die Ermittlung der steuerbaren Umsätze anlässlich der Kontrolle auf die Angaben der Beschwerdeführerin in der (genehmigten und revidierten) Jahresrechnung 2009 abzustellen bzw. davon auszugehen, dass die fraglichen Umsätze bzw. die entsprechenden Leistungen mehrwertsteuerlich der Beschwerdeführerin als Leistungserbringerin zuzuordnen und demnach von dieser zu versteuern sind (E. 2.4.1). Dies gilt umso mehr, als die Mehrwertsteuer als Selbstveranlagungssteuer ausgestaltet ist (E. 2.3), was grundsätzlich eine möglichst einfache Kontrolle durch die ESTV bedingt (vgl. etwa Urteil des Bundesgerichts 2C_561/2009 vom 25. März 2011 E. 4.2). Ausserdem ist mit Blick auf die handels- und mehrwertsteuerrechtlichen Anforderungen an die ordnungsgemässe Buchführung grundsätzlich davon auszugehen, dass jedem verbuchten Ertrag ein Rechnungsbeleg zugeordnet werden kann und damit ein gewichtiges Indiz für einen diesbezüglichen mehrwertsteuerlichen Leistungsauftritt gegeben ist (E. 2.5).</w:t>
      </w:r>
    </w:p>
    <w:p>
      <w:r>
        <w:rPr>
          <w:b/>
        </w:rPr>
        <w:t>E. 3.2</w:t>
      </w:r>
    </w:p>
    <w:p>
      <w:r>
        <w:t>Die Beschwerdeführerin macht nun geltend, die buchhalterische Erfassung der fraglichen Leistungen in der Jahresrechnung 2009 entspreche nicht der wirtschaftlichen Realität (vgl. E. 2.4.3). Die betreffenden Umsätze bzw. die entsprechenden Leistungen seien - entgegen der grundsätzlich gerechtfertigten Annahme der ESTV (E. 2.4.2 und 3.1) - mehrwertsteuerlich nicht ihr zuzuordnen, sondern der C._______ AG, welche diese Umsätze bereits ordnungsgemäss versteuert (d.h. deklariert und die entsprechende Mehrwertsteuer der ESTV abgeliefert) habe. Bei diesem Vorbringen handelt es sich um eine steuermindernde Tatsache, für welche die Beschwerdeführerin die Beweislast trägt (E. 1.4). In den vorliegenden Akten finden sich nun aber keinerlei Belege dafür, dass die fraglichen Umsätze tatsächlich bereits von der C._______ AG deklariert und ordnungsgemäss versteuert worden sind. Ebenso wenig finden sich Anhaltspunkte - beispielsweise entsprechende Rechnungen der C._______ AG (E. 2.5) -, die darauf schliessen liessen, dass diese und nicht die Beschwerdeführerin bei der Erzielung der betreffenden Umsätze nach aussen in eigenem Namen aufgetreten ist und somit als Leistungserbringerin zu gelten hat (E. 2.2). Der Beschwerdeführerin misslingt somit der Nachweis, dass vorliegend ein Abrücken im beantragten Sinn von ihren Angaben in der Jahresrechnung 2009 gerechtfertigt wäre. Sie ist unter den gegebenen Umständen auf die entsprechende Buchhaltung zu behaften (E. 2.4.1), womit die strittige Nachbelastung geschuldet bleibt. Der Vollständigkeit halber bleibt zu erwähnen, dass sich die Beschwerdeführerin diese aus ihrer Sicht negative mehrwertsteuerliche Folge selbst anzulasten hat. Es wäre - nicht zuletzt vor dem Hintergrund der aus dem Selbstveranlagungsprinzip fliessenden Pflichten der steuerpflichtigen Person (E. 2.3) - ihre Aufgabe gewesen, bei der Verbuchung ihrer Geschäftsvorfälle die notwendige Sorgfalt walten zu lassen und damit eine Steuerkorrektur von vornherein auszuschliessen. 4.Den vorstehenden Erwägungen zufolge ist die Beschwerde abzuweisen, soweit darauf einzutreten ist. Bei diesem Ausgang sind die Verfahrenskosten, die auf Fr. 3'100.-- festzusetzen sind, der unterliegenden Beschwerdeführerin aufzuerlegen (Art. 63 Abs. 1 VwVG i.V.m. Art. 4 des Reglements vom 21. Februar 2008 über die Kosten und Entschädigungen vor dem Bundesverwaltungsgericht [VGKE, SR 173.320.2]). Sie sind mit dem in gleicher Höhe geleisteten Kostenvorschuss zu verrechnen. Eine Parteientschädigung ist nicht zuzusprechen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