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A-7176/2014 vom 12. März 2015</w:t>
      </w:r>
    </w:p>
    <w:p>
      <w:r>
        <w:t>Bundesverwaltungsgericht, 2015-03-12, DE</w:t>
      </w:r>
    </w:p>
    <w:p>
      <w:r>
        <w:rPr>
          <w:b/>
        </w:rPr>
        <w:t xml:space="preserve">Quelle: </w:t>
      </w:r>
      <w:r>
        <w:t>https://mcp.opencaselaw.ch/entscheid/bvger_A-7176_2014</w:t>
      </w:r>
    </w:p>
    <w:p>
      <w:r>
        <w:t>FR: TAF A-7176/2014 du 12 mars 2015</w:t>
      </w:r>
    </w:p>
    <w:p>
      <w:r>
        <w:t>IT: TAF A-7176/2014 del 12 marzo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Eine Ausnahme nach Art. 32 VGG liegt nicht vor. Die Vorinstanz ist zudem eine Behörde im Sinn von Art. 33 VGG. Das Bundesverwaltungsgericht ist demnach für die Beurteilung der vorliegenden Beschwerde sachlich zuständig.</w:t>
      </w:r>
    </w:p>
    <w:p>
      <w:r>
        <w:rPr>
          <w:b/>
        </w:rPr>
        <w:t>E. 1.2</w:t>
      </w:r>
    </w:p>
    <w:p>
      <w:r>
        <w:t>Auf die funktionelle Zuständigkeit ist im Folgenden einzugehen, wobei zunächst das anwendbare Recht festzustellen ist:</w:t>
      </w:r>
    </w:p>
    <w:p>
      <w:r>
        <w:rPr>
          <w:b/>
        </w:rPr>
        <w:t>E. 1.2.1</w:t>
      </w:r>
    </w:p>
    <w:p>
      <w:r>
        <w:t>Am 1. Januar 2010 ist das Mehrwertsteuergesetz (MWSTG, SR 641.20) in Kraft getreten.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(und bis Ende 2009 in Kraft stehenden) Bundesgesetz vom 2. September 1999 über die Mehrwertsteuer (aMWSTG, AS 2000 1300) sowie der dazugehörigen Verordnung vom 29. März 2000 (aMWSTGV, AS 2000 1347).</w:t>
      </w:r>
    </w:p>
    <w:p>
      <w:r>
        <w:rPr>
          <w:b/>
        </w:rPr>
        <w:t>E. 1.2.2</w:t>
      </w:r>
    </w:p>
    <w:p>
      <w:r>
        <w:t>Demgegenüber findet das neue mehrwertsteuerliche Verfahrensrecht auf sämtliche im Zeitpunkt des Inkrafttretens hängige Verfahren sofort Anwendung (Art. 113 Abs. 3 MWSTG).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w:t>
      </w:r>
    </w:p>
    <w:p>
      <w:r>
        <w:rPr>
          <w:b/>
        </w:rPr>
        <w:t>E. 1.2.3</w:t>
      </w:r>
    </w:p>
    <w:p>
      <w:r>
        <w:t>Streitgegenstand des Beschwerdeverfahrens kann nur sein, was bereits im vorinstanzlichen Verfahren strittig war. Rechtspositionen, über welche die Vorinstanz nicht entschieden hat und über die sie nach richtiger Gesetzesauslegung auch nicht hätte entscheiden müssen, sind aus Gründen der funktionellen Zuständigkeit durch die zweite Instanz nicht zu beurteilen (vgl. Urteile des BGer 2C_687/2007 vom 8. April 2008 E. 1.2.1, 2C_572/2007 vom 23. Januar 2008 E. 1.3, 2A.706/2006 vom 1. März 2007 E. 1.3). Das durch die Verfügung geregelte Rechtsverhältnis (sog. Anfechtungsobjekt) bildet insofern den Rahmen, innerhalb dessen sich der Streitgegenstand durch die Parteianträge definiert (zum Ganzen: Urteil des BVGer A-720/2013 vom 30. Januar 2014 E. 1.2.2). Bei einer Beschwerde gegen einen Nichteintretensentscheid kann nur geltend gemacht werden, die Vorinstanz habe zu Unrecht das Bestehen der Eintretensvoraussetzungen verneint. Das vorliegende Verfahren beschränkt sich somit auf die Frage, ob die Vorinstanz zu Recht nicht auf die "Einsprache" des Beschwerdeführers eingetreten ist (vgl. BGE 132 V 74 E. 1.1; BVGE 2011/30 E. 3; André Moser et al., Prozessieren vor dem Bundesverwaltungsgericht, 2. Aufl. 2013, Rz. 2.8). Vorliegend rügt der Beschwerdeführer u.a., er habe im massgeblichen Zeitraum die erforderliche Umsatzgrenze nie erreicht, habe sich gegen die Aufnahme in die Mehrwertsteuerpflicht telefonisch einige Male gewehrt; ungeachtet seiner Reaktionen, seien ihm "fantastische Rechnungen der MWST" zugestellt worden (Sachverhalt Bst. F). Da es sich hiermit um materiellrechtliche Vorbringen handelt und diese nicht zum Streitgegenstand gehören, ist auf diese nicht einzutreten.</w:t>
      </w:r>
    </w:p>
    <w:p>
      <w:r>
        <w:rPr>
          <w:b/>
        </w:rPr>
        <w:t>E. 1.2.4.1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 et. al, Allgemeines Verwaltungsrecht, 6. Aufl. 2010, Rz. 1815). Das Einspracheverfahren ermöglicht eine Abklärung komplexer tatsächlicher oder rechtlicher Verhältnisse und eine umfassende Abwägung der verschiedenen von einer Verfügung berührten Interessen (Häfelin et. al, a.a.O., Rz. 1816; zum Ganzen: Urteil des BVGer A-3779/2013 vom 9. Januar 2014 E. 1.2.2.1).</w:t>
      </w:r>
    </w:p>
    <w:p>
      <w:r>
        <w:rPr>
          <w:b/>
        </w:rPr>
        <w:t>E. 1.2.4.2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BVGer A-5534/2013 vom 5. November 2014 E. 1.3.2, A-3779/2013 E. 1.2.2.2 mit weiterem Hinweis).</w:t>
      </w:r>
    </w:p>
    <w:p>
      <w:r>
        <w:rPr>
          <w:b/>
        </w:rPr>
        <w:t>E. 1.2.4.3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(EM) Nr. [...]" vom 14. November 2013. Indessen ist es nach Rechtsprechung des Bundesgerichts und des Bundesverwaltungsgerichts grundsätzlich nicht zulässig, eine Einschätzungsmitteilung direkt als Verfügung im Sinn von Art. 5 VwVG auszugestalten (vgl. statt vieler: Urteil des BVGer A-5384/2014 vom 3. März 2015 E. 1.3.2 mit weiterem Hinweis; BGE 140 II 202 E. 5 f.; BGer 2C_842/2014 vom 17. Februar 2015 E. 5.2). Vorliegend hat die ESTV hingegen dennoch ein Einspracheverfahren durchgeführt und die "Einsprache" des Beschwerdeführers gegen die "Einschätzungsmitteilung (EM) Nr. [...]" vom 14. November 2013 lediglich mit dem Erlass eines formellen "Einspracheentscheids" abgeschlossen. Dieser als "Einspracheentscheid" bezeichnete Entscheid der ESTV vom 10. November 2014 stellt aber jedenfalls eine Verfügung gemäss Art. 5 VwVG dar. Indem der Beschwerdeführer dagegen beim Bundesverwaltungsgericht Beschwerde erhob, hat er einen allfälligen Verlust des Einspracheverfahrens (E. 1.2.4.1) zumindest in Kauf genommen. Seine vorbehaltlose Beschwerdeführung direkt beim Bundesverwaltungsgericht ist unter diesen Umständen - in analoger Anwendung von Art. 83 Abs. 4 MWSTG - als "Zustimmung" zur Durchführung des Verfahrens der Sprungbeschwerde (E. 1.2.4.2) zu werten, zumal im formellen "Einspracheentscheid" vom 10. November 2014 einlässlich begründet ist, weshalb die Vorinstanz auf die "Einsprache" nicht eintritt (vgl. A-3779/2013 E. 1.2.3 mit weiteren Hinweisen; BGer 2C_842/2014 E. 5.4).</w:t>
      </w:r>
    </w:p>
    <w:p>
      <w:r>
        <w:rPr>
          <w:b/>
        </w:rPr>
        <w:t>E. 1.3</w:t>
      </w:r>
    </w:p>
    <w:p>
      <w:r>
        <w:t>Der Beschwerdeführer ist zur Erhebung der vorliegenden Beschwerde berechtigt (Art. 48 Abs. 1 VwVG). Auf die im Übrigen frist- und formgerecht eingereichte Beschwerde (Art. 50 Abs. 1 und Art. 52 Abs. 1 VwVG) ist demnach - unter Vorbehalt des unter E. 1.2.3 Ausgeführten - einzutreten.</w:t>
      </w:r>
    </w:p>
    <w:p>
      <w:r>
        <w:rPr>
          <w:b/>
        </w:rPr>
        <w:t>E. 2</w:t>
      </w:r>
    </w:p>
    <w:p>
      <w:r>
        <w:t>Vorliegend ist somit zu prüfen, ob es von der Vorinstanz zulässig war, die "Einschätzungsmitteilung (EM) Nr. [...] / Verfügung" vom 14. November 2013 in Form einer Verfügung zu erlassen.</w:t>
      </w:r>
    </w:p>
    <w:p>
      <w:r>
        <w:rPr>
          <w:b/>
        </w:rPr>
        <w:t>E. 2.1</w:t>
      </w:r>
    </w:p>
    <w:p>
      <w:r>
        <w:t>Wie bereits aufgezeigt, ist es nach Rechtsprechung des Bundesgerichts und des Bundesverwaltungsgerichts grundsätzlich nicht zulässig, eine Einschätzungsmitteilung direkt als Verfügung im Sinn von Art. 5 VwVG auszugestalten (E. 1.2.4.3). Gemäss höchstrichterlicher Rechtsprechung darf eine Einschätzungsmitteilung, mit welcher eine Kontrolle abgeschlossen wird, jedoch dann in Form einer Verfügung erlassen werden, wenn die speziellen Umstände des Einzelfalles es rechtfertigen. Dies ist laut Bundesgericht dann der Fall, wenn der Steuerpflichtige von vornherein mitteilt, dass er die Feststellungen der Steuerbehörde bestreiten werde, sich kategorisch weigert, am Ende der Kontrolle die Stellungnahme der Steuerbehörde anzuerkennen oder wenn die Erhebung der Steuer konkret gefährdet erscheint. Das Bundesgericht führt aus, das Bestehen einer Einschätzungsmitteilung an sich bedeute noch nicht, dass bereits eine konkrete Gefährdung hinsichtlich der Steuererhebung bestehe (BGE 140 II 202 E. 6.3.5).</w:t>
      </w:r>
    </w:p>
    <w:p>
      <w:r>
        <w:rPr>
          <w:b/>
        </w:rPr>
        <w:t>E. 2.2</w:t>
      </w:r>
    </w:p>
    <w:p>
      <w:r>
        <w:t>Die Vorinstanz stellt sich auf den Standpunkt, sie habe die "EM Nr. [...] / Verfügung" zu Recht in Form einer Verfügung erlassen, da durch die Pflichtverletzung des Beschwerdeführers eine konkrete Gefährdung der Steuererhebung vorgelegen habe. Sie habe nämlich im Rahmen der Kontrolle gravierende Mängel bei der Buchführung des Beschwerdeführers festgestellt, indem massgebende Buchhaltungsunterlagen/Dokumente gefehlt hätten oder nur teilweise bzw. in nicht brauchbarer Qualität vorhanden gewesen seien. Die gewährte Frist zum Nachreichen der fehlenden Unterlagen habe der Beschwerdeführer ungenutzt verstreichen lassen. Der Beschwerdeführer habe damit seine Pflicht zur ordnungsgemässen Buchführung in grober Weise verletzt, was den objektiven Tatbestand von Art. 86 Abs. 1 Bst. c aMWSTG bzw. Art. 98 Bst. e MWSTG erfülle und demzufolge eine abstrakte Steuergefährdung darstelle. Sie sei zur Vornahme einer Ermessenstaxation gezwungen gewesen, welche zur Festsetzung der besagten EM geführt habe. Somit habe eine konkrete Gefährdung der Steuererhebung vorgelegen und sie sei in Übereinstimmung mit der bundesgerichtlichen Rechtsprechung berechtigt gewesen, die EM in Form einer Verfügung zu erlassen. Somit sei sie - da die Einsprache gegen die "EM Nr. [...] / Verfügung" verspätet eingereicht worden sei - zu Recht nicht auf diese eingetreten (vgl. Sachverhalt Bst. G).</w:t>
      </w:r>
    </w:p>
    <w:p>
      <w:r>
        <w:rPr>
          <w:b/>
        </w:rPr>
        <w:t>E. 2.3</w:t>
      </w:r>
    </w:p>
    <w:p>
      <w:r>
        <w:t>Die Ausführungen der Vorinstanz vermögen nicht zu überzeugen:</w:t>
      </w:r>
    </w:p>
    <w:p>
      <w:r>
        <w:rPr>
          <w:b/>
        </w:rPr>
        <w:t>E. 2.3.1</w:t>
      </w:r>
    </w:p>
    <w:p>
      <w:r>
        <w:t>Art. 98 MWSTG schützt den gesetzlich vorgesehenen Verfahrensablauf und will Verhaltensweisen sanktionieren, welche die Steuererhebung über Gebühr erschweren oder verunmöglichen. Es handelt sich hierbei um ein "abstraktes Gefährdungsdelikt", der Eintritt eines Erfolgs hat demnach keine Relevanz (Diego Clavadetscher, in: MWSTG-Kommentar, 2012, Art. 98 Rz. 2); gleiches gilt für die Steuergefährdung gemäss Art. 86 aMWSTG (Bruno Scherrer, in: Kommentar zum MWSTG, 2000, Art. 86 Rz. 2). Diesfalls kann vorliegend durch die Verletzung von Verfahrenspflichten gemäss Art. 98 MWSTG bzw. Art. 86 aMWSTG lediglich eine abstrakte Steuergefährdung ausgewiesen werden. Eine konkrete Gefährdung der Steuererhebung wird durch das Erfüllen dieser Tatbestände gerade nicht belegt. Wie bereits durch das Bundesgericht erläutert (E. 2.1), bedeutet das Bestehen einer Einschätzungsmitteilung für sich allein noch nicht, dass bereits eine konkrete Gefährdung hinsichtlich der Steuererhebung bestehe. Eine konkrete Gefährdung liegt vor, wenn die Wahrscheinlichkeit oder nahe Möglichkeit einer Verletzung des geschützten Rechtsgutes gegeben ist bzw. infolge der Verletzung der Mitwirkungs- und Auskunftspflichten im Zusammenhang mit der Veranlagung und Erhebung von Steuern und Abgaben die Wahrscheinlichkeit oder nahe Möglichkeit der Veranlagung einer zu niedrigen Steuer besteht (BGE 132 IV 40 E. 2.2.2). Wie sich diese konkrete Gefährdung vorliegend verwirklicht haben soll, ist weder aus den Akten ersichtlich noch vermag die Vorinstanz dies aufzuzeigen. Bei den vorliegenden "Versäumnissen" des Beschwerdeführers, wie fehlende Kassabücher, Fahrtenkontrollscheiben und Ruhezeitkarten sowie mangelhafte Jahresabschlüsse bzw. Erfolgsrechnungen und Bilanzen, handelt es sich vielmehr um die "üblichen" Pflichtverletzungen eines Steuerpflichtigen, welche zu einer Umsatzschätzung bzw. Ermessenstaxation nach pflichtgemässem Ermessen führen, was für sich alleine - wie aufgezeigt - noch nicht als konkrete Gefährdung gelten kann, welche eine Verkürzung des gesetzlich vorgesehenen Verfahrensablaufs zu rechtfertigen vermöchte. Dies gilt umso mehr, als der Beschwerdeführer von den in der "Einschätzungsmitteilung (EM) Nr. [...]" festgesetzten Mehrwertsteuern im Betrag von Fr. 16'224.-- zwischen April 2014 und Oktober 2014 Ratenzahlungen von insgesamt Fr. 4'609.-- geleistet hat.</w:t>
      </w:r>
    </w:p>
    <w:p>
      <w:r>
        <w:rPr>
          <w:b/>
        </w:rPr>
        <w:t>E. 2.4</w:t>
      </w:r>
    </w:p>
    <w:p>
      <w:r>
        <w:t>Es gelingt der Vorinstanz somit nicht aufzuzeigen, dass besondere Umstände den Erlass einer Einschätzungsmitteilung in Form einer Verfügung begründet hätten. Somit stellt die "Einschätzungsmitteilung (EM) Nr. [...] / Verfügung" vom 14. November 2013 trotz ihrer Bezeichnung keine Verfügung dar und mangelt es an einem Anfechtungsobjekt für eine Einsprache. Die Vorinstanz hätte mithin in ihrem "Einspracheentscheid" nicht mit der Begründung schliessen dürfen, auf die "Einsprache" nicht einzutreten, weil diese zu spät eingereicht worden sei.</w:t>
      </w:r>
    </w:p>
    <w:p>
      <w:r>
        <w:rPr>
          <w:b/>
        </w:rPr>
        <w:t>E. 2.5</w:t>
      </w:r>
    </w:p>
    <w:p>
      <w:r>
        <w:t>Entsprechend ist die Beschwerde gutzuheissen, soweit darauf einzutreten ist. Der vorinstanzliche "Einspracheentscheid" vom 10. November 2014 ist aufzuheben und die Sache ist an die Vorinstanz zur materiellen Prüfung und Erlass einer Erstverfügung zurückzuweisen.</w:t>
      </w:r>
    </w:p>
    <w:p>
      <w:r>
        <w:rPr>
          <w:b/>
        </w:rPr>
        <w:t>E. 3.1</w:t>
      </w:r>
    </w:p>
    <w:p>
      <w:r>
        <w:t>Bei diesem Verfahrensausgang hat der Beschwerdeführer als obsiegende Partei keine Verfahrenskosten zu tragen. Der Vorinstanz sind ebenfalls keine Verfahrenskosten aufzuerlegen (Art. 63 Abs. 1 und 2 VwVG). Der einbezahlte Kostenvorschuss von Fr. 1'000.-- wird dem Beschwerdeführer nach Eintritt der Rechtskraft des vorliegenden Urteils zurückerstattet.</w:t>
      </w:r>
    </w:p>
    <w:p>
      <w:r>
        <w:rPr>
          <w:b/>
        </w:rPr>
        <w:t>E. 3.2</w:t>
      </w:r>
    </w:p>
    <w:p>
      <w:r>
        <w:t>Dem nicht anwaltlich vertretenen Beschwerdeführer sind keine verhältnismässig hohen Kosten entstanden, weshalb ihm keine Parteientschädigung zuzusprechen ist (Art. 64 Abs. 1 VwVG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