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A-7156/2010 vom 17. Januar 2011</w:t>
      </w:r>
    </w:p>
    <w:p>
      <w:r>
        <w:t>Bundesverwaltungsgericht, 2011-01-17, FR</w:t>
      </w:r>
    </w:p>
    <w:p>
      <w:r>
        <w:rPr>
          <w:b/>
        </w:rPr>
        <w:t xml:space="preserve">Quelle: </w:t>
      </w:r>
      <w:r>
        <w:t>https://mcp.opencaselaw.ch/entscheid/bvger_A-7156_2010</w:t>
      </w:r>
    </w:p>
    <w:p>
      <w:r>
        <w:t>FR: TAF A-7156/2010 du 17 janvier 2011</w:t>
      </w:r>
    </w:p>
    <w:p>
      <w:r>
        <w:t>IT: TAF A-7156/2010 del 17 gennaio 2011</w:t>
      </w:r>
    </w:p>
    <w:p>
      <w:pPr>
        <w:pStyle w:val="Heading2"/>
      </w:pPr>
      <w:r>
        <w:t>Regeste</w:t>
      </w:r>
    </w:p>
    <w:p>
      <w:r>
        <w:t>Entraide administrative et judiciaire</w:t>
      </w:r>
    </w:p>
    <w:p>
      <w:pPr>
        <w:pStyle w:val="Heading2"/>
      </w:pPr>
      <w:r>
        <w:t>Erwägungen</w:t>
      </w:r>
    </w:p>
    <w:p>
      <w:r>
        <w:rPr>
          <w:b/>
        </w:rPr>
        <w:t>E. 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 Déposé par une personne qui a qualité pour recourir (cf. art. 48 al. 1 PA) et dans le délai et selon les formes prescrits (cf. art. 50 al. 1 et art. 52 al. 1 PA), le recours est recevable. Il y a dès lors lieu d'entrer en matière.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ANDRÉ MOSER/MICHAEL BEUSCH/LORENZ KNEUBÜHLER, Prozessieren vor dem Bundesverwaltungsgericht, Bâle 2008,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A-4935/2010 du 11 octobre 2010 consid. 3.1 et A-4936/2010 du 21 septembre 2010 consid. 3.1).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 du Tribunal administratif fédéral E-6525/2009 du 29 juin 2010 consid. 5.2.2 et les références citées).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consid. 3a s., 120 Ia 1 consid. 5b; arrêt du Tribunal fédéral 2A.593/2005 du 6 septembre 2006 consid. 5.2; arrêt du Tribunal administratif fédéral E-6525/2009 du 29 juin 2010 consid. 5.2.2).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A-4935/2010 du 11 octobre 2010 consid. 3.1 et A-4936/2010 du 21 septembre 2010 consid. 3.1).</w:t>
      </w:r>
    </w:p>
    <w:p>
      <w:r>
        <w:rPr>
          <w:b/>
        </w:rPr>
        <w:t>E. 2.2</w:t>
      </w:r>
    </w:p>
    <w:p>
      <w:r>
        <w:t>Le Tribunal administratif fédéral constate les faits et applique le droit d'office, sans être lié par les motifs invoqués (cf. art. 62 al. 4 PA) ni par l'argumentation juridique développée dans la décision entreprise(cf.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3.1</w:t>
      </w:r>
    </w:p>
    <w:p>
      <w:r>
        <w:t>Le recourant requiert, à titre de mesures d'instructions, l'audition de deux personnes, soit de A._______ et de B._______. La première personne devrait démontrer que le compte bancaire du recourant a été ouvert dans les années 1960, alors qu'il vivait en ***, et non pas en 1988, date qui ressortirait du dossier UBS. Le recourant n'a pas précisé pourquoi il requiert l'audition de B._______. La date du début des relations bancaires, qu'elle se situe en 1988 ou dans les années 1960, n'est pas déterminante. Les critères permettant d'accorder l'entraide, dont la période prise en considération, étant clairement définis (cf. consid. 6.1 ci-après), l'audition de témoins s'avère inutile. La requête du recourant est dès lors rejeté. Ce dernier ne précise en outre pas dans quel but l'audition de B._______ est requise, si bien que le Tribunal de céans ignore quelle serait l'utilité de ce témoignage. Dans la mesure où cette requête est recevable, elle est également rejetée.</w:t>
      </w:r>
    </w:p>
    <w:p>
      <w:r>
        <w:rPr>
          <w:b/>
        </w:rPr>
        <w:t>E. 3.2</w:t>
      </w:r>
    </w:p>
    <w:p>
      <w:r>
        <w:t>Le recourant demande la mise en oeuvre d'une expertise afin de déterminer l'exactitude des facteurs de calcul et des taux de change appliqués par l'autorité inférieure. Il propose à cet effet deux experts, l'un à défaut de l'autre. Le droit d'administrer des preuves suppose que le fait à prouver soit pertinent et que le moyen de preuve proposé soit nécessaire pour constater ce fait. Or, les chiffres mentionnés en dollars américains figurant dans la décision entreprise ne sont pas contestés par le recourant, qui les reprend tels quels dans le tableau annexé à son recours. L'intéressé ne remet en cause que le taux de change en francs suisses pris en considération par l'AFC ainsi que le calcul des gains en capital réalisés. Le Tribunal de céans s'est déjà prononcé sur la prise en compte de ces deux facteurs (cf. consid. 6.2 et 6.3 ci-après), si bien que la mise en oeuvre d'une expertise s'avère inutile. La requête du recourant est dès lors rejetée.</w:t>
      </w:r>
    </w:p>
    <w:p>
      <w:r>
        <w:rPr>
          <w:b/>
        </w:rPr>
        <w:t>E. 3.3</w:t>
      </w:r>
    </w:p>
    <w:p>
      <w:r>
        <w:t>Pour le surplus, le Tribunal administratif fédéral relève qu'au vu du dossier, l'état de fait est suffisamment complet pour qu'il puisse statuer en toute connaissance de cause.</w:t>
      </w:r>
    </w:p>
    <w:p>
      <w:r>
        <w:rPr>
          <w:b/>
        </w:rPr>
        <w:t>E. 4.1.1</w:t>
      </w:r>
    </w:p>
    <w:p>
      <w:r>
        <w:t>Le 15 juillet 2010 le Tribunal administratif fédéral a rendu un arrêt dans l'affaire pilote A-4013/2010 portant sur la demande d'entraide administrative des Etats-Unis concernant des contribuables américains, clients d'UBS SA. Dans ce prononcé,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A-6053/2010 du 10 janvier 2011 consid. 2.1 et A- 4876/2010 du 11 octobre 2010 consid. 3.1).</w:t>
      </w:r>
    </w:p>
    <w:p>
      <w:r>
        <w:rPr>
          <w:b/>
        </w:rPr>
        <w:t>E. 4.1.2</w:t>
      </w:r>
    </w:p>
    <w:p>
      <w:r>
        <w:t>Concernant plus précisément la relation entre les différentes conventions (la Convention 10, la CDI-US 96 [en particulier son art. 26], la convention du 4 novembre 1950 de sauvegarde des droits de l'homme et des libertés fondamentales [CEDH, RS 0.101, en particulier son art. 8] et le Pacte international relatif aux droits civils et politiques du 16 décembre 1966 [Pacte ONU II, RS 0.103.2, en particulier son art. 17]), il a indiqué qu'elle était déterminée d'après les seules règles de l'art. 30 de la convention de Vienne sur le droit des traités du 23 mai 1969 (CV, RS 0.111) et que le droit international ne connaissait pas - à l'exception de la prééminence du ius cogens - de hiérarchie matérielle. Le Tribunal de céans a ainsi considéré que les règles de la Convention 10 primaient sur les autres dispositions de droit international, y compris l'art. 8 CEDH et l'art. 17 Pacte ONU II, ces deux dernières dispositions ne contenant pas de ius cogens. Il a toutefois retenu que, même si l'art. 8 al. 1 CEDH était applicable, les conditions prescrites à l'art. 8 al. 2 CEDH, qui permet de restreindre le droit au respect de la vie privée et familiale, étaient réalisées. La Convention 10 était en effet une base juridique suffisante à la lumière de la jurisprudence de la Cour européenne des droits de l'homme. Les importants intérêts économiques de la Suisse ainsi que l'intérêt à pouvoir respecter les engagements internationaux pris prévalaient en outre sur l'intérêt individuel des personnes concernées par l'entraide administrative à tenir secrète leur situation patrimoniale (cf. arrêt du Tribunal administratif fédéral A-4013/2010 du 15 juillet 2010 consid. 4.5 et 6 et les références citées). S'agissant en particulier de l'art. 17 Pacte ONU II, dans la mesure où son champ d'application était touché, le Tribunal administratif fédéral a jugé que, même si le Pacte ONU II était applicable - ce qui n'était pas le cas en l'occurrence compte tenu de la priorité accordée à la Convention 10 - toutes les conditions étaient réunies pour restreindre l'application de cette disposition (cf. arrêt du Tribunal administratif fédéral A-4013/2010 du 15 juillet 2010 consid. 5.5 et 6.6 et les références citées).</w:t>
      </w:r>
    </w:p>
    <w:p>
      <w:r>
        <w:rPr>
          <w:b/>
        </w:rPr>
        <w:t>E. 4.1.3</w:t>
      </w:r>
    </w:p>
    <w:p>
      <w:r>
        <w:t>Le Tribunal de céans a également exposé, dans l'arrêt A-4013/2010 précité, que l'art. 7 al. 1 CEDH (pas de peine sans loi) n'était pas pertinent en matière de procédure d'entraide administrative. Cette disposition était exceptionnellement applicable dans le cadre de la procédure d'entraide suisse si la personne concernée par l'entraide était menacée, dans l'Etat requérant, par une procédure violant l'art. 7 CEDH (cf. ATF 135 I 191 consid. 2.1, 126 II 324 consid. 4c). Or, tel n'était pas le cas en l'espèce (cf. arrêt du Tribunal administratif fédéral A-4013/2010 du 15 juillet 2010 consid. 5.4.3; cf. également arrêt du Tribunal administratif fédéral A-4876/2010 du 11 octobre 2010 consid. 3.1).</w:t>
      </w:r>
    </w:p>
    <w:p>
      <w:r>
        <w:rPr>
          <w:b/>
        </w:rPr>
        <w:t>E. 4.1.4</w:t>
      </w:r>
    </w:p>
    <w:p>
      <w:r>
        <w:t>Le Tribunal administratif fédéral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A-4013/2010 du 15 juillet 2010 consid. 6.5.2 et A-4876/2010 du 11 octobre 2010 consid. 3.1).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effet rétroactif (cf. arrêt du Tribunal administratif fédéral A-4904/2010 du 11 janvier 2011 consid. 4.2).</w:t>
      </w:r>
    </w:p>
    <w:p>
      <w:r>
        <w:rPr>
          <w:b/>
        </w:rPr>
        <w:t>E. 4.1.5</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plus spécifiquement les critères relatifs à la domiciliation aux Etats-Unis, à la titularité de comptes non déclarés (non-W9), ainsi qu'au calcul du revenu et de la valeur des compte-titres ou des comptes de dépôt - sont adéquats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auxquels a abouti l'AFC sont fondés sur des erreurs de calcul (cf. arrêt du Tribunal administratif fédéral A-4013/2010 du 15 juillet 2010 consid. 8.3.3 et les références citées; cf. également arrêt du Tribunal administratif fédéral A-4876/2010 du 11 octobre 2010 consid. 3.1). Le Tribunal administratif fédéral a déjà eu l'occasion (cf. arrêt du Tribunal administratif fédéral A-4876/2010 du 11 octobre 2010 consid. 3.1; cf. également arrêt du Tribunal administratif fédéral A-6053/2011 du 10 janvier 2011 consid. 2.2 ss) d'affirmer qu'aucun motif ne justifiait de revenir sur la jurisprudence établie dans l'arrêt A-4013/2010 du 15 juillet 2010. Celle-ci est dès lors une nouvelle fois confirmée.</w:t>
      </w:r>
    </w:p>
    <w:p>
      <w:r>
        <w:rPr>
          <w:b/>
        </w:rPr>
        <w:t>E. 4.2</w:t>
      </w:r>
    </w:p>
    <w:p>
      <w:r>
        <w:t>En l'espèce, il y a lieu de constater, à la lumière des arrêts susdits, que les objections suivantes relatives à la validité et à l'applicabilité de la Convention 10 peuvent sans autre être écartées : violation du droit au respect de la sphère privée (cf. art. 13 Cst. et art. 8 CEDH), ainsi que violation du principe de l'interdiction de la rétroactivité.</w:t>
      </w:r>
    </w:p>
    <w:p>
      <w:r>
        <w:rPr>
          <w:b/>
        </w:rPr>
        <w:t>E. 5.1</w:t>
      </w:r>
    </w:p>
    <w:p>
      <w:r>
        <w:t>Le recourant considère que la Convention 10 instaure un régime dérogatoire et discriminatoire pénalisant uniquement une certaine catégorie de personnes, c'est-à-dire les clients d'UBS SA. La Convention 10 ne s'appliquerait en effet qu'aux clients d'UBS et non pas aux clients d'autres banques. Le recourant invoque les art. 8 Cst., 14 CEDH, 2 par. 2 du Pacte international du 16 décembre 1966 relatif aux droits économiques, sociaux et culturels (Pacte ONU I; RS 0.103.1) ainsi que 2 par. 1 et 26 Pacte ONU II. Il fait également valoir qu'il appartiendrait à l'UBS SA de choisir les comptes dont les dossiers seront transmis au fisc américain et de les transmettre à l'AFC à cette fin. L'UBS SA aurait ainsi tout loisir de livrer en priorité les noms d'anciens clients ou de clients peu importants.</w:t>
      </w:r>
    </w:p>
    <w:p>
      <w:r>
        <w:rPr>
          <w:b/>
        </w:rPr>
        <w:t>E. 5.2.1</w:t>
      </w:r>
    </w:p>
    <w:p>
      <w:r>
        <w:t>Comme exposé ci-avant, le Tribunal de céans ne peut pas vérifier la conformité de la Convention 10 avec la constitution fédérale et les lois fédérales. Celle-là prime en outre les accords internationaux antérieurs qui lui seraient contraires (cf. consid. 4.1.1 ci-avant). La Convention 10 doit dès lors être appliquée même si elle instaure un régime juridique différent pour les clients d'UBS SA par rapport à des clients d'autres banques. Au demeurant, les griefs de violation des art. 14 CEDH, 2 Pacte ONU I ainsi que 2 et 26 Pacte ONU II - dont les garanties n'ont pas de portée indépendante (cf. ATF 135 I 161 consid. 2.2 et les références citées, 133 V 367 consid. 11.3 p. 388, 123 II 472 consid. 4c p. 477) - seraient de toute manière irrecevables puisque le recourant n'invoque la violation d'aucune autre garantie conventionnelle. Pour le surplus, il ne démontre pas en quoi les dispositions précitées lui offriraient une protection plus étendue que l'art. 8 Cst.</w:t>
      </w:r>
    </w:p>
    <w:p>
      <w:r>
        <w:rPr>
          <w:b/>
        </w:rPr>
        <w:t>E. 5.2.2</w:t>
      </w:r>
    </w:p>
    <w:p>
      <w:r>
        <w:t>Comme exposé ci-avant (les faits lettre C), le 1er septembre 2009, l'AFC a pris une décision à l'encontre d'UBS SA exigeant des renseignements au sens de l'art. 20d al. 2 OCDI-US 96. Elle a requis d'UBS SA, dans les délais fixés à l'art. 4 de l'Accord 09, de fournir en particulier les dossiers complets des clients tombant sous l'annexe à l'Accord 09. Contrairement à ce que prétend le recourant, l'UBS n'avait pas la possibilité de choisir les comptes ou de transmettre à l'AFC en priorité les données bancaires de clients peu intéressants pour elle. Elle devait au contraire transmettre à l'AFC tous les dossiers des clients qui remplissaient les critères figurant dans l'annexe à la Convention 10. Le grief du recourant, dans la mesure où il est recevable - dès lors qu'il n'appartient pas au Tribunal de céans de vérifier si l'UBS SA a correctement exécuté la décision prise à son encontre par l'AFC - doit ainsi être rejeté.</w:t>
      </w:r>
    </w:p>
    <w:p>
      <w:r>
        <w:rPr>
          <w:b/>
        </w:rPr>
        <w:t>E. 6</w:t>
      </w:r>
    </w:p>
    <w:p>
      <w:r>
        <w:t>Le recourant conteste la méthode de calcul employée par l'AFC pour déterminer si le seuil de la moyenne annuelle sur trois ans de CHF 100'000.-- était dépassé dans son cas. Il relève en substance que la décision attaquée ne mentionne pas les raisons pour lesquelles un quotient (appliqué au prix de vente) plutôt qu'un autre a été retenu. Il estime que des quotients plus bas (de 0% au lieu de 12,5% et de 12,5% au lieu de 25% ou 50% selon les ventes concernées) auraient dû être appliqués à certaines transactions intitulées « fonds ». Il considère par ailleurs que des taux de change en francs suisses qui lui seraient défavorables auraient été pris en compte. Le tableau qu'il remet à titre de preuve contient des taux de change plus favorables. Le recourant omet toutefois d'expliquer pourquoi ces taux de change plutôt que ceux figurant dans la décision entreprise devraient être retenus.</w:t>
      </w:r>
    </w:p>
    <w:p>
      <w:r>
        <w:rPr>
          <w:b/>
        </w:rPr>
        <w:t>E. 6.1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2/A/b sont les suivants : - les clients d'UBS SA, - domiciliés aux Etats-Unis, - qui étaient titulaires directs et ayant droit économiques, - de comptes-titres non déclarés (non-W-9) et de comptes de dépôt d'UBS SA d'une valeur de plus d'un million de francs suisses, pendant une période située entre 2001 et 2008, et - dont il y a de sérieuses raisons de penser qu'ils ont commis des « fraudes ou délits semblables ». La notion de « fraudes ou délits semblables » est définie en ce qui concerne la catégorie 2/A/b comme suit : - (i) le contribuable domicilié aux Etats-Unis n'a pas fourni de formulaire W-9 pendant au moins trois ans (dont un an au moins couvert par la demande d'entraide administrative), et - (ii) le compte détenu auprès d'UBS SA a généré des revenus de plus de 100'000 francs suisse en moyenne par an pour toute période de trois ans comprenant un an au moins couvert par la demande d'entraide administrative. L'analyse prend en compte le revenu brut (intérêts et dividendes) et les gains en capital (équivalant, dans le cadre de la demande d'entraide administrative, à 50%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 La notion de « tax fraud or the like » est définie comme suit : « (i) the US-domiciled taxpayer has failed to provide a Form W-9 for a period of at least 3 years (including at least 1 year covered by the request) and (ii) the UBS account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6.2</w:t>
      </w:r>
    </w:p>
    <w:p>
      <w:r>
        <w:t>Dans l'arrêt A-4013/2010 précité, le Tribunal administratif fédéral a admis que l'annexe à la Convention 10 indiquait clairement ce qui devait être considéré comme revenus générés par un compte détenu auprès d'UBS SA. Constituaient des revenus au sens dudit traité les « revenus bruts (intérêts et dividendes) et les gains en capital (équivalant, dans le cadre de la demande d'entraide administrative, à 50% du produit brut des ventes réalisées sur le compte durant la période considérée) » (cf. arrêt du Tribunal administratif fédéral A-4013/2010 du 15 juillet 2010 consid. 8.3.3). Le Tribunal de céans a retenu que - conformément au texte de la Convention 10 - les gains en capital représentaient un élément de la définition des revenus générés par un compte détenu auprès d'UBS SA, revenus qui participaient eux-mêmes à la définition de la notion de « fraudes ou délits semblables ». En conséquence, il ne s'agissait pas de critères réfragables, mais de critères objectifs qui devaient être remplis pour que l'entraide administrative soit accordée. La réalisation desdits critères - qu'il convenait de qualifier comme une présomption légale irréfragale - suffisait à l'octroi de l'entraide administrative. Comme déjà dit (consid. 4.1.5 ci-avant), le Tribunal administratif fédéral a considéré que les personnes visées ne pouvaient s'opposer à l'entraide administrative qu'en prouvant que lesdits critères avaient été appliqués de manière erronée ou en démontrant que les calculs de l'AFC étaient faux. Ainsi, l'argument selon lequel le seuil de la moyenne annuelle de CHF 100'000.-- sur trois ans devait être déterminé en fonction des gains effectivement générés et/ou en fonction d'un autre quotient que celui de 50% (du produit brut des ventes réalisées) prévu dans l'annexe à la Convention 10 ne pouvait notamment pas être suivi. Le Tribunal de céans a relevé que la version anglaise de l'annexe à la Convention 10 indiquait expressément, s'agissant de la catégorie 2/A/b, « revenues are defined as gross income [...] and capital gains (which [...] are calculated as 50% of the gross sales proceeds [...]) ». Il a retenu que cette définition de la notion « revenu » (en anglais : « revenues ») était propre à la Convention 10, qui pouvait sans autre s'écarter de la signification donnée en règle générale au terme en question (cf. arrêt du Tribunal administratif fédéral A-4013/2010 du 15 juillet 2010 consid.8.3.3 et les références citées). Le Tribunal de céans a également jugé que le fait d'avoir effectivement réalisé un gain en capital imposable ne constituait pas, en tant que tel, un soupçon fondé de « fraudes ou délits semblables ». A l'inverse, lorsque le contribuable prouve avoir effectivement subi une perte en capital, ledit soupçon n'est pas levé. Le soupçon résulte en effet de l'omission d'avoir rempli, durant la période considérée par la Convention 10, les formulaires de déclaration indiquée pour la catégorie concernée, et non pas de la réalisation d'un revenu imposable. En ce qui concerne la catégorie 2/A/b, le critère déterminant est l'omission d'avoir rempli le formulaire W-9 durant une période d'au moins trois ans. Lorsque les caractéristiques relatives au compte, dont fait notamment partie le calcul schématique du revenu annuel moyen sur trois ans prévu par la Convention 10, sont remplies, l'on est en présence de « fraudes ou délits semblables » et l'entraide doit être accordée. La méthode de calcul prévue dans l'annexe à la Convention 10 n'est dans ce contexte pas une méthode de calcul parmi d'autres, qui doit être écartée lorsque la preuve des gains ou pertes effectifs est apportée. Compte tenu de la définition précise des revenus prévue par la Convention 10, il ne reste en effet plus de place pour une autre méthode de calcul, respectivement pour apporter la preuve des revenus effectifs (cf. arrêt du Tribunal administratif A- 6053/2010 du 10 janvier 2011 consid. 2.3 et 2.4).</w:t>
      </w:r>
    </w:p>
    <w:p>
      <w:r>
        <w:rPr>
          <w:b/>
        </w:rPr>
        <w:t>E. 6.3</w:t>
      </w:r>
    </w:p>
    <w:p>
      <w:r>
        <w:t>Dans son arrêt précité A-4013/2010 du 15 juillet 2010, le Tribunal administratif fédéral a considéré que l'AFC avait effectué ses calculs sur la base des cours du jour respectivement des cours annuels les plus bas, alors que la Convention 10 était silencieuse quant au mode de conversion d'une monnaie étrangère en francs suisses. Il a estimé que l'AFC était ainsi en principe libre de choisir un facteur de conversion tant que ce dernier n'était pas arbitraire. En jugeant de cette question, il convenait de tenir compte du fait qu'un grand nombre de dossiers devait être traité en peu de temps. Il n'était en tout cas pas arbitraire de tenir compte du cours du jour applicable respectivement des cours annuels les plus bas, ces derniers cours étant en règle générale plus favorables aux personnes concernées. Bien plus, cette manière de procéder était conforme aux exigences strictes en matière de conversion de monnaies. Elle correspondait par ailleurs aux règles fixées par différentes lois fiscales suisses (cf. MARTIN KOCHER, Fremdwährungsaspekte im schweizerischen Steuerrecht, Bedeutung, Umrechnung und Bewertung fremder Währungen im steuerlichen Einzelabschluss, Archives de droit fiscal suisse 78 p. 457 ss, p. 479 ss). L'AFC avait ainsi procédé de manière correcte lors de la conversion en francs suisses (cf. arrêt du Tribunal administratif fédéral A-4013/2010 du 15 juillet 2010 consid. 8.3.3).</w:t>
      </w:r>
    </w:p>
    <w:p>
      <w:r>
        <w:rPr>
          <w:b/>
        </w:rPr>
        <w:t>E. 6.4.1</w:t>
      </w:r>
    </w:p>
    <w:p>
      <w:r>
        <w:t>Le recourant ne met nullement en cause les considérants qui précèdent, qu'il convient au demeurant de confirmer.</w:t>
      </w:r>
    </w:p>
    <w:p>
      <w:r>
        <w:rPr>
          <w:b/>
        </w:rPr>
        <w:t>E. 6.4.2</w:t>
      </w:r>
    </w:p>
    <w:p>
      <w:r>
        <w:t>Conformément aux critères définis dans l'annexe à la Convention 10, l'AFC se devait de calculer les gains en capital en prenant en compte - pour toutes les ventes réalisées durant la période considérée sur le compte détenu par le recourant auprès d'UBS SA - le 50% du produit brut. Ainsi, en appliquant - vraisemblablement dans le but d'appréhender avec plus d'exactitude la réalité - un quotient de 0%, 12,5% et 25% à certaines transactions, alors que le quotient de 50% prescrit par l'annexe à la Convention 10 était appliqué pour d'autres transactions, l'AFC a calculé les revenus annuels moyens d'une manière plus favorable au recourant que celle imposée par la Convention 10. En effet, selon les conditions définies dans ledit traité, il convient de prendre en considération le 50% du produit brut réalisé, indépendamment du résultat comptable effectif. Les griefs du recourant quant à la détermination du seuil de la moyenne annuelle sur trois ans de plus de CHF 100'000.-- sont dès lors mal fondés.</w:t>
      </w:r>
    </w:p>
    <w:p>
      <w:r>
        <w:rPr>
          <w:b/>
        </w:rPr>
        <w:t>E. 6.4.3</w:t>
      </w:r>
    </w:p>
    <w:p>
      <w:r>
        <w:t>D'après la décision entreprise, des intérêts, dividendes et gains en capital d'au moins CHF 332'019.-- ont été réalisés durant les années 2006, 2007 et 2008, si bien que le seuil relatif aux revenus annuels moyens sur trois ans a été dépassé durant les années 2006 à 2008. Le recourant conteste cependant une partie des chiffres figurant dans la décision entreprise et considère que les facteurs de calcul auraient été établis « de manière mystérieuse, sans aucune explication » et qu'il ne concorderaient pas avec ceux fournis par UBS auxquels ils seraient souvent supérieurs. Il en irait de même du taux de change. Le recourant fournit son propre tableau de calcul et arrive à la conclusion que le critère relatif au revenu annuel moyen sur trois ans ne serait pas atteint. La comparaison de son tableau avec celui figurant dans la décision attaquée montre cependant que les montants de base, en dollars américains, sont identiques. Force est d'en conclure que les parties sont d'accord sur les chiffres à la base des calculs et que les avis ne divergent qu'en ce qui concerne le taux de conversion en francs suisse et le taux appliqué aux gains en capital. Or, on vient de voir que les taux de change appliqués sont corrects (cf. consid. 6.3 ci-avant) et que la manière dont l'AFC a calculé lesdits gains était favorable au recourant, puisque le quotient de 50% aurait dû être appliqué à toutes les ventes (cf. consid. 6.2 et 6.4.2 ci-avant). L'autorité inférieure admet, dans sa réponse du 6 décembre 2010, que le montant de USD 29'048.-- (intitulé Valor Fonds) du 6 février 2006 aurait dû être pris en compte à hauteur de 0% au lieu de 12,5%, il s'agit là une fois encore d'un traitement qui est favorable au recourant, car l'autorité inférieure aurait pu et dû se baser sur un quotient de 50%. Compte tenu de ce qui précède, les griefs du recourant quant au calcul du seuil des revenus annuels moyens sur trois ans sont mal fondés.</w:t>
      </w:r>
    </w:p>
    <w:p>
      <w:r>
        <w:rPr>
          <w:b/>
        </w:rPr>
        <w:t>E. 7</w:t>
      </w:r>
    </w:p>
    <w:p>
      <w:r>
        <w:t>Durant la période en cause, le recourant avait son domicile aux Etats-Unis. Il était titulaire et bénéficiaire économique du compte UBS numéro ***. Il remplit ainsi les conditions de la Convention 10 relatives à sa personne, ce qu'il ne conteste d'ailleurs pas. Le seuil du million de francs suisses a été dépassé le 30 septembre 2007 selon la décision de l'AFC du 23 août 2010. Le recourant ne le conteste pas non plus, mais fait valoir que le solde n'était plus qu'à CHF 894'088.13 en décembre 2008. Or, l'annexe à la Convention 10 précise que le compte doit avoir une valeur de plus d'un million de francs suisses à un moment donné durant une période située entre 2001 et 2008 (« in excess of CHF 1 million [at any point in time during the period of years 2001 through 2008] »), si bien que ce critère est également rempli. Le recourant ne prétend pas non plus avoir rempli les formulaires W-9. D'après la décision entreprise, des intérêts, dividendes et gains en capital d'au moins CHF 332'019.-- ont été réalisés durant les années 2006, 2007 et 2008, si bien que le seuil relatif aux revenus annuels moyens sur trois ans a été dépassé durant les années 2006 à 2008. Les griefs du recourant concernant le calcul des gains en capital et le taux de change sont mal fondés (cf. consid. 6.4 ci-dessus). Pour le surplus, le recourant ne fait pas non plus valoir que l'autorité inférieure aurait fait des erreurs de calculs ou d'addition. Tous les critères de la catégorie 2/A/b sont ainsi remplis et c'est dès lors à juste titre que l'AFC a décidé d'accorder l'entraide administrative sollicitée.</w:t>
      </w:r>
    </w:p>
    <w:p>
      <w:r>
        <w:rPr>
          <w:b/>
        </w:rPr>
        <w:t>E. 8</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du recourant qui succombe. L'autorité de recours impute, dans le dispositif, l'avance sur les frais de procédure correspondants. Une indemnité à titre de dépens n'est pas allouée au recourant (cf. art. 64 al. 1 PA a contrario, respectivement art. 7 al. 1 FITAF a contrario).</w:t>
      </w:r>
    </w:p>
    <w:p>
      <w:r>
        <w:rPr>
          <w:b/>
        </w:rPr>
        <w:t>E. 9</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