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A-7149/2016 vom 14. Februar 2018</w:t>
      </w:r>
    </w:p>
    <w:p>
      <w:r>
        <w:t>Bundesverwaltungsgericht, 2018-02-14, DE</w:t>
      </w:r>
    </w:p>
    <w:p>
      <w:r>
        <w:rPr>
          <w:b/>
        </w:rPr>
        <w:t xml:space="preserve">Quelle: </w:t>
      </w:r>
      <w:r>
        <w:t>https://mcp.opencaselaw.ch/entscheid/bvger_A-7149_2016</w:t>
      </w:r>
    </w:p>
    <w:p>
      <w:r>
        <w:t>FR: TAF A-7149/2016 du 14 février 2018</w:t>
      </w:r>
    </w:p>
    <w:p>
      <w:r>
        <w:t>IT: TAF A-7149/2016 del 14 febbraio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Der Beschwerdeführer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19. Oktober 2016)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 Es verhält sich dabei so, dass die Verfahrensbeteiligten die mit der Sache befasste Instanz in ihrer aktiven Rolle zu unterstützen haben, indem sie das ihrige zur Ermittlung des Sachverhaltes beitragen, unabhängig von der Geltung des Untersuchungsgrundsatzes (zum Ganzen: Moser et al., a.a.O., Rz. 1.49). Die Beschwerdeinstanz ist jedenfalls nicht verpflichtet, über die tatsächlichen Vorbringen der Parteien hinaus den Sachverhalt vollkommen neu zu erforschen (BGE 122 V 157 E. 1a [S. 158] und 121 V 204 E. 6c [S. 210]; BVGE 2007/27 E. 3.3; Urteil des BVGer A-4206/2017 vom 14. November 2017 E. 1.4.1 mit weiteren Hinweisen).</w:t>
      </w:r>
    </w:p>
    <w:p>
      <w:r>
        <w:rPr>
          <w:b/>
        </w:rPr>
        <w:t>E. 1.4.2</w:t>
      </w:r>
    </w:p>
    <w:p>
      <w:r>
        <w:t>Nach dem Grundsatz der freien Beweiswürdigung (Art. 19 VwVG i.V.m. Art. 40 BZP [SR 273])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[S. 485 f.]; vgl. Urteil des BVGer A-6660/2011 vom 29. Mai 2012 E. 4.2.1; Moser et al., a.a.O., Rz. 3.140). Gelangt das Gericht gestützt auf die freie Beweiswürdigung zum Ergebnis, dass sich ein rechtserheblicher Sachumstand nicht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(Urteil des BVGer A-4206/2017 vom 14. November 2017 E. 1.4.2 mit weiteren Hinweisen).</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[S. 349]; MOSER et al., a.a.O., Rz. 1.54).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 150 f.] und 127 II 264 E. 1b [S. 268]).</w:t>
      </w:r>
    </w:p>
    <w:p>
      <w:r>
        <w:rPr>
          <w:b/>
        </w:rPr>
        <w:t>E. 1.6</w:t>
      </w:r>
    </w:p>
    <w:p>
      <w:r>
        <w:t>Anfechtungsobjekt im Verfahren vor Bundesverwaltungsgericht bildet einzig der vorinstanzliche Entscheid. Dieser bildet den Rahmen, welcher den möglichen Umfang des Streitgegenstandes begrenzt (BGE 133 II 35 E. 2 [S. 38]; Moser et al., a.a.O., Rz. 2.7).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bilden aber nicht Streitgegenstand (vgl. BGE 131 V 164 E. 2.1 [S. 165]). In der Verwaltungsverfügung festgelegte, aber aufgrund der Beschwerdebegehren nicht mehr streitige Fragen prüft das Gericht nur, wenn die nicht beanstandeten Punkte in einem engen Sachzusammenhang mit dem Streitgegenstand stehen (Urteil des BVGer A-4206/2017 vom 14. November 2017 E. 1.6 und Moser et al., a.a.O., Rz. 2.8 mit weiteren Hinweisen).</w:t>
      </w:r>
    </w:p>
    <w:p>
      <w:r>
        <w:rPr>
          <w:b/>
        </w:rPr>
        <w:t>E. 1.7</w:t>
      </w:r>
    </w:p>
    <w:p>
      <w:r>
        <w:t>Nach den allgemeinen intertemporalen Regeln sind in verfahrensrechtlicher Hinsicht diejenigen Rechtssätze massgebend, welche im Zeitpunkt der Beschwerdebeurteilung Geltung haben (vgl. BGE 130 V 1 E. 3.2 [S. 4]); dies unter Vorbehalt spezialgesetzlicher Übergangsbestimmungen. In materieller Hinsicht sind dagegen grundsätzlich diejenigen Rechtssätze massgebend, die bei der Erfüllung des zu Rechtsfolgen führenden Sachverhalts Geltung hatten (vgl. BGE 134 V 315 E. 1.2 [S. 317] und 130 V 329 E. 2.3 [S. 333]; zum Ganzen: Urteil des BVGer A-4206/2017 vom 14. November 2017 E. 1.7).</w:t>
      </w:r>
    </w:p>
    <w:p>
      <w:r>
        <w:rPr>
          <w:b/>
        </w:rPr>
        <w:t>E. 1.8.1</w:t>
      </w:r>
    </w:p>
    <w:p>
      <w:r>
        <w:t>Gemäss Art. 29 Abs. 2 BV haben die Parteien Anspruch auf rechtliches Gehör. Dieser Anspruch umfasst auch das Recht auf einen begründeten Entscheid. Der Entscheid ist ausreichend begründet, wenn er so abgefasst ist, dass der Betroffene ihn sachgerecht anfechten kann (vgl. Art. 35 Abs. 1 VwVG).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beziehungsweise auf jene Aspekte beschränken, die von der Behörde ohne Willkür als wesentlich betrachtet werden (vgl. BGE 136 I 184 E. 2.2.1 [S. 188]). Welchen Anforderungen eine Begründung zu genügen hat, ist im Einzelfall anhand der konkreten Umstände und der Interessen der Betroffenen fest-zulegen. Die notwendige Begründungsdichte ist dabei insbesondere abhängig von der Entscheidungsfreiheit der Behörde, der Eingriffsintensität des Entscheids sowie der Komplexität des Sachverhalts und der sich stellenden Rechtsfragen (BGE 142 II 324 E. 3.6 [S. 337 f.]; zum Ganzen: Urteil des BVGer A-4026/2016 vom 7. März 2016 E. 3.1 mit weiterem Hinweis).</w:t>
      </w:r>
    </w:p>
    <w:p>
      <w:r>
        <w:rPr>
          <w:b/>
        </w:rPr>
        <w:t>E. 1.8.2</w:t>
      </w:r>
    </w:p>
    <w:p>
      <w:r>
        <w:t>Der Anspruch auf rechtliches Gehör ist formeller Natur. Dessen Verletzung führt grundsätzlich ungeachtet der Erfolgsaussichten der Beschwerde in der Sache selbst zur Aufhebung der angefochtenen Verfügung (BGE 132 V 387 E. 5.1 [S. 390]).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[S. 437 f.]).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mit Hinweis, vgl. auch BGE 133 I 201 E. 2.2 [S. 204 f.]; Urteil des BVGer A-4026/2016 vom 7. März 2016 E. 3.3).</w:t>
      </w:r>
    </w:p>
    <w:p>
      <w:r>
        <w:rPr>
          <w:b/>
        </w:rPr>
        <w:t>E. 1.9.1</w:t>
      </w:r>
    </w:p>
    <w:p>
      <w:r>
        <w:t>Gemäss Art. 20 Abs. 2bis VwVG gilt eine Mitteilung, die nur gegen Unterschrift des Adressaten oder einer anderen berechtigten Person übergeben und innert der siebentägigen Frist nicht abgeholt wird, als am siebten Tag nach dem erfolglosen Zustellungsversuch als erfolgt (Zustellfiktion). Voraussetzung ist allerdings, dass der Adressat mit der fraglichen Zustellung rechnen musste (statt vieler BGE 134 V 49 E. 4 [S. 51 f.] mit Hinweisen sowie Patricia Egli in: Praxiskommentar VwVG, 2. Aufl. 2016, Art. 20 N. 46 mit weiteren Hinweisen auf die bundesgerichtliche Rechtsprechung). Der Empfänger muss die behördliche Mitteilung also mit einer gewissen Wahrscheinlichkeit erwarten. Diese Voraussetzung ist erfüllt, wenn ein Verfahrens- oder Prozessrechtsverhältnis begründet wurde, indem die betroffene Person selbst ein Verfahren eingeleitet hat oder ihr die Einleitung eines Verfahrens rechtsgenüglich mitgeteilt wurde (vgl. Urteil des BVGer A-6822/2016 vom 6. Juli 2017 E. 6.1.1).</w:t>
      </w:r>
    </w:p>
    <w:p>
      <w:r>
        <w:rPr>
          <w:b/>
        </w:rPr>
        <w:t>E. 1.9.2</w:t>
      </w:r>
    </w:p>
    <w:p>
      <w:r>
        <w:t>Nach der Rechtsprechung des Bundesverwaltungsgerichts wird die Zustellung einer von der Auffangeinrichtung per Einschreiben versandten Aufforderung zum Nachweis seines Anschlusses an eine registrierte Vorsorgeeinrichtung fingiert, wenn der Arbeitgeber vorgängig von der Ausgleichskasse eine entsprechende Aufforderung erhalten hat und seither nicht übermässig viel Zeit verstrichen ist (vgl. Urteile des BVGer A-6822/2016 vom 6. Juli 2017 E. 6.1.1 und A-6747/2016 vom 9. Mai 2017 E. 8).</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in Verbindung mit Art. 5 BVV 2 erzielen. Dieser Mindestlohn beträgt seit dem 1. Januar 2015 Fr. 21'150.- (AS 2014 3343). In Bezug auf die Ermittlung des massgebenden Lohnes im konkreten Fall ist die Vorinstanz nach der Rechtsprechung des Bundesverwaltungsgerichts jeweils grundsätzlich an die Lohnbescheinigungen der zuständigen Ausgleichskasse gebunden (zum Ganzen: Urteil des BVGer A-4206/2017 vom 14. November 2017 E. 2.1.2 mit weiteren Hinweisen).</w:t>
      </w:r>
    </w:p>
    <w:p>
      <w:r>
        <w:rPr>
          <w:b/>
        </w:rPr>
        <w:t>E. 2.1.3</w:t>
      </w:r>
    </w:p>
    <w:p>
      <w:r>
        <w:t>Gemäss Art. 2 Abs. 4 BVG obliegt es dem Bundesrat, die Versicherungspflicht für Arbeitnehmer in Berufen mit häufig wechselnden oder befristeten Anstellungen zu regeln. Er bestimmt, welche Arbeitnehmer aus besonderen Gründen nicht der obligatorischen Versicherung unterstellt sind. Diesem Auftrag ist der Bundesrat mit Art. 1j BVV 2 nachgekommen: In dieser Bestimmung wird festgehalten, welche Arbeitnehmer von der obligatorischen Versicherung ausgenommen sind (Urteil des BVGer A-6813/2016 vom 30. August 2017 E. 3.3 mit weiteren Hinweisen).</w:t>
      </w:r>
    </w:p>
    <w:p>
      <w:r>
        <w:rPr>
          <w:b/>
        </w:rPr>
        <w:t>E. 2.2.1</w:t>
      </w:r>
    </w:p>
    <w:p>
      <w:r>
        <w:t>Beschäftigt ein Arbeitgeber einen oder mehrere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Die Auffangeinrichtung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w:t>
      </w:r>
    </w:p>
    <w:p>
      <w:r>
        <w:rPr>
          <w:b/>
        </w:rPr>
        <w:t>E. 2.2.3</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betreffend die Verfügung vom 19. Oktober 2016). Dieses Reglement bildet (auch im vorliegenden Fall) integrierenden Bestandteil der Anschlussverfügung (Urteil des BVGer A-4206/2017 vom 14. November 2017 E. 2.2.3 mit weiteren Hinweisen).</w:t>
      </w:r>
    </w:p>
    <w:p>
      <w:r>
        <w:rPr>
          <w:b/>
        </w:rPr>
        <w:t>E. 3</w:t>
      </w:r>
    </w:p>
    <w:p>
      <w:r>
        <w:t>Im vorliegenden Fall ist aus den Akten ersichtlich und unbestritten, dass B._______ in den Jahren 2012 und 2013 ein von seinem Arbeitgeber obligatorisch zu versichernder Arbeitnehmer nach Art. 11 BVG war. Als erstes ist zu prüfen, ob die Vorinstanz unter der Annahme, B._______ sei Arbeitnehmer des Beschwerdeführers gewesen, Letzteren zu Recht per 1. Januar 2012 zwangsweise angeschlossen hat. Mit anderen Worten ist der Beginn der Versicherungspflicht des Arbeitgebers von B._______ festzuhalten (E. 3.1). Anschliessend ist der damalige Arbeitgeber von B._______ zu bestimmen (E. 3.2). Zuletzt ist die Frage zu klären, ob die Vorinstanz dem Beschwerdeführer die Kosten für den Zwangsanschluss zu Recht auferlegt hat (E. 3.3).</w:t>
      </w:r>
    </w:p>
    <w:p>
      <w:r>
        <w:rPr>
          <w:b/>
        </w:rPr>
        <w:t>E. 3.1</w:t>
      </w:r>
    </w:p>
    <w:p>
      <w:r>
        <w:t>Die obligatorische Versicherungspflicht beginnt mit dem Antritt des Arbeitsverhältnisses der Arbeitnehmenden (Art. 10 Abs. 1 BVG).</w:t>
      </w:r>
    </w:p>
    <w:p>
      <w:r>
        <w:rPr>
          <w:b/>
        </w:rPr>
        <w:t>E. 3.1.1</w:t>
      </w:r>
    </w:p>
    <w:p>
      <w:r>
        <w:t>Der Beschwerdeführer führt in seiner Stellungnahme vom 14. September 2017 aus, er habe im Laufe des vorinstanzlichen Verfahrens die Versichertenverzeichnisse der Y._______ (Genossenschaft) aus den Jahren 2012 und 2013 eingereicht, woraus ersichtlich sei, dass sein damaliger Arbeitnehmer, B._______, in den Jahren 2012 und 2013 dort vorsorgeversichert gewesen sei und die entsprechenden [BVG-]Beiträge auch bezahlt worden seien. Da das Versichertenverzeichnis der Y._______ 2012 ab dem 1. Mai 2012 gültig ist, behauptet der Beschwerdeführer sinngemäss, der Beginn des Zeitpunktes seiner allfälligen Versicherungspflicht falle auf dieses Datum (vgl. auch Stellungnahme vom 14. September 2017, Beilage, S. 3 [recte: S. 2]).</w:t>
      </w:r>
    </w:p>
    <w:p>
      <w:r>
        <w:rPr>
          <w:b/>
        </w:rPr>
        <w:t>E. 3.1.2</w:t>
      </w:r>
    </w:p>
    <w:p>
      <w:r>
        <w:t>Das Aktenstück "Schreiben der SVA [...] vom 25. Mai 2016" (Vernehmlassung, Beilage 1) umfasst neben einem Anschreiben zwei Lohnbescheinigungen des Beschwerdeführers aus den Jahren 2012 und 2013, jeweils erstellt von der SVA [...]. Die Vorinstanz stützt sich beim rückwirkenden zwangsweisen Anschluss des Beschwerdeführers per 1. Januar 2012 ausschliesslich auf die erwähnte Lohnbescheinigung 2012 und behauptet, B._______ sei in den Jahren 2012 und 2013 Arbeitnehmer des Beschwerdeführers gewesen.</w:t>
      </w:r>
    </w:p>
    <w:p>
      <w:r>
        <w:rPr>
          <w:b/>
        </w:rPr>
        <w:t>E. 3.1.3.1</w:t>
      </w:r>
    </w:p>
    <w:p>
      <w:r>
        <w:t>In der Lohnbescheinigung 2012 wird tabellarisch dargelegt, die Beitragsdauer im Jahr 2012 für den Versicherten B._______ laufe vom 1. bis zum 12. Monat des Jahres 2012. Dies suggeriert unmissverständlich, der Antritt des Arbeitsverhältnisses von B._______ und damit auch der Beginn der Versicherungspflicht des Beschwerdeführers sei der 1. Januar 2012. Indem die Vorinstanz einzig die Lohnbescheinigung des Jahres 2012 berücksichtigte, hat sie jedoch das Schreiben der SVA [...] vom 25. Mai 2016 nur auszugsweise beigezogen. Im dort ebenfalls enthaltenen Anschreiben wird nämlich dargelegt, der Antritt des Arbeitsverhältnisses von B._______ sei der 1. Mai 2012 (Vernehmlassung, Beilage 1, S. 1). Damit sind die Ausführungen der Vorinstanz in der Verfügung vom 19. Oktober 2016 (Sachverhalt Bst. A.c) dahingehend unvollständig, dass aus der Meldung der zuständigen Ausgleichskasse an die Vorinstanz sowohl auf den 1. Januar 2012 als auch auf den 1. Mai 2012 als Antritt des Arbeitsverhältnisses von B._______ geschlossen werden kann und das Aktenstück "Schreiben der SVA [...] vom 25. Mai 2016" somit in sich widersprüchlich ist. Im Rahmen einer Gesamtwürdigung des relevanten Aktenstückes ergibt sich jedoch, dass als Antritt des Arbeitsverhältnisses und somit Beginn der Versicherungspflicht nicht der 1. Januar 2012 in Frage kommt: Im Jahr 2013 erzielte B._______ einen monatlichen Lohn von Fr. 6'500.-. Da anzunehmen ist, dass er im Jahr 2012 gleich viel verdient hat, ist die Lohnsumme 2012 durch Fr. 6'500.- zu teilen, was eine Arbeitsdauer von 8 Monaten ergibt. Daraus lässt sich schliessen, dass B._______ erst am 1. Mai 2012 seine Stelle angetreten hat. Dasselbe Ergebnis lässt ich auch den Versichertenverzeichnissen der Y._______ 2012 und 2013 entnehmen (nachfolgend: E. 3.2.2).</w:t>
      </w:r>
    </w:p>
    <w:p>
      <w:r>
        <w:rPr>
          <w:b/>
        </w:rPr>
        <w:t>E. 3.1.3.2</w:t>
      </w:r>
    </w:p>
    <w:p>
      <w:r>
        <w:t>Da der 1. Mai 2012 ein Dienstag und im Kanton [...] kein Feiertag war, ist im vorliegenden Fall mangels gegenteiliger Hinweise in den Akten davon auszugehen, dass B._______ dann sein Arbeitsverhältnis effektiv angetreten hat (vgl. z.B. Jürg Brechbühl, in: SHK Stämpflis Handkommentar, 2010, Art. 10 BVG N. 5 mit weiteren Hinweisen). Als Zwischenfazit ist somit entgegen den Ausführungen der Vorinstanz festzuhalten, dass die Versicherungspflicht des Arbeitgebers von B._______ erst seit dem 1. Mai 2012 besteht. Die Vorinstanz durfte damit den Beschwerdeführer selbst unter der Annahme, B._______ sei sein Arbeitnehmer gewesen, nicht per 1. Januar 2012 zwangsweise anschliessen.</w:t>
      </w:r>
    </w:p>
    <w:p>
      <w:r>
        <w:rPr>
          <w:b/>
        </w:rPr>
        <w:t>E. 3.2.1</w:t>
      </w:r>
    </w:p>
    <w:p>
      <w:r>
        <w:t>Weiter führt der Beschwerdeführer insbesondere aus, die Vorinstanz stelle sich zu Unrecht auf den Standpunkt, sie müsse nach wie vor am Zwangsanschluss festhalten, da sich aus den Versichertenverzeichnissen der Y._______ für die Jahre 2012 und 2013, gemäss welchen die Z._______ AG der Arbeitgeber von B._______ sei, kein Hinweis auf den Beschwerdeführer als Inhaber der Einzelfirma X._______ finde. Nach Ansicht des Beschwerdeführers ist zentral, dass die bei der SVA [...] gemeldeten Löhne von B._______ bei der Y._______ versichert gewesen seien. B._______ sei sowohl für die Z._______ AG als auch für die Einzelfirma X._______ tätig und in den Jahren 2012 und 2013 vollumfänglich BVG versichert gewesen. Weiter legt der Beschwerdeführer dar, die Y._______ habe systemtechnisch keine Möglichkeit gehabt, die in den Jahren 2012 und 2013 bei der Z._______ AG abgerechneten Löhne nachträglich über den Beschwerdeführer abzurechnen (Stellungnahme vom 14. September 2017, Rz. 5 f. und Beilage).</w:t>
      </w:r>
    </w:p>
    <w:p>
      <w:r>
        <w:rPr>
          <w:b/>
        </w:rPr>
        <w:t>E. 3.2.2</w:t>
      </w:r>
    </w:p>
    <w:p>
      <w:r>
        <w:t>Aus dem Versichertenverzeichnis der Y._______ für das Jahr 2012 (Vernehmlassung, Beilage 7, S. 2) geht hervor, dass B._______ sein Arbeitsverhältnis bei der Z._______ AG am 1. Mai 2012 angetreten hat und einen aufgerechneten Jahreslohn (dort "gemeldeter Jahreslohn" genannt) von Fr. 78'000.- hatte. Somit erzielte B._______ bei der Z._______ AG im Jahr 2012 ab dem 1. Mai wiederum einen Lohn von Fr. 52'000.-, welcher seiner im Schreiben der SVA [...] vom 25. Mai 2016 (vgl. E. 3.1.3) erwähnten Lohnsumme entspricht. Hierbei fällt auf, dass im Schreiben der SVA [...] vom 25. Mai 2016 der Beschwerdeführer, und nicht die Z._______ AG als Arbeitgeber von B._______ genannt wird. So verhält es sich auch bezüglich der relevanten Unterlagen für das Jahr 2013.</w:t>
      </w:r>
    </w:p>
    <w:p>
      <w:r>
        <w:rPr>
          <w:b/>
        </w:rPr>
        <w:t>E. 3.2.3.1</w:t>
      </w:r>
    </w:p>
    <w:p>
      <w:r>
        <w:t>Im vorliegenden Fall ist zuerst darauf hinzuweisen, dass - entgegen den Ausführungen der Vorinstanz - im Namen einer AG auch vor ihrer Eintragung im Handelsregister Verträge abgeschlossen werden können (Art. 645 OR). Damit konnte im Namen der Z._______ AG bereits vor ihrer Eintragung im Handelsregister am 29. August 2013 sowohl ein Arbeitsvertrag mit B._______ als auch ein Anschlussvertrag mit der Y._______ gültig zustandekommen.</w:t>
      </w:r>
    </w:p>
    <w:p>
      <w:r>
        <w:rPr>
          <w:b/>
        </w:rPr>
        <w:t>E. 3.2.3.2</w:t>
      </w:r>
    </w:p>
    <w:p>
      <w:r>
        <w:t>Aktenkundig ist, dass die Z._______ AG einen Anschlussvertrag mit der Y._______ hatte und innerhalb dieses B._______ als Arbeitnehmer versichert war. Im Rahmen der freien Beweiswürdigung (E. 1.4.2) ist der Bestand eines derartigen gültigen Anschlussvertrages von der Z._______ AG ein starkes Indiz dafür, dass B._______ dort tatsächlich auch Arbeitnehmer war. Weder das Schreiben der SVA [...] vom 25. Mai 2016, in welchem der Beschwerdeführer als Arbeitgeber aufgeführt wird, noch die dem mit vom 7. März 2017 datierenden Schreiben der SVA [...] an die Vorinstanz beigefügte Lohnbescheinigung der Z._______ AG für das Jahr 2013 (Vernehmlassung, Beilage 10), wonach sie im Jahre 2013 keine Löhne ausbezahlt habe, vermögen den Gegenbeweis hierzu zu erbringen. Die Bezifferung der Höhe der Austrittsleistung von B._______ in der Austrittsabrechnung der Y._______ (Beschwerde, Beilage 3) bestätigt, dass die geschuldeten BVG-Beiträge bezahlt wurden. Es ist nicht ersichtlich, warum BVG-Beiträge für einen nicht vorhandenen Arbeitnehmer hätten bezahlt werden sollen. Beweismässig zu Ungunsten der Vorinstanz zu werten ist hier ebenfalls, dass das Schreiben der SVA [...] vom 25. Mai 2016 in sich widersprüchlich ist (vgl. E. 3.1.3.1). Die dem mit vom 7. März 2017 datierenden Schreiben der SVA [...] an die Vorinstanz beigefügte Lohnbescheinigung der Z._______ AG für das Jahr 2013 wurde von der Z._______ AG selber schriftlich ausgefüllt und stellt damit eine private Urkunde dar (Regina Kiener et al., Öffentliches Verfahrensrecht, 2. Aufl. 2015, Rz. 741 f.). Danach hat die Z._______ AG von September bis und mit Dezember 2013 keine Löhne ausbezahlt, womit sie für diesen Zeitraum keine Arbeitnehmende hätte beschäftigen können (Art. 319 Abs. 1 OR). Im Rahmen der freien Beweiswürdigung kommt diesem Aktenstück jedoch insbesondere aufgrund der beweismässig überzeugenderen Versichertenverzeichnisse der Y._______ kein grosser Beweiswert zu (vgl. Franz Hasenböhler, Das Beweisrecht der ZPO, Band 1, 2015, Rz. 5.33 und Pierre Moor/Etienne Poltier, Droit administratif, 3. Aufl. Band 2, 2011, S. 298 f.). Im Übrigen ist auch der E-Mail-Verkehr zwischen dem Beschwerdeführer und der Y._______ (Stellungnahme vom 14. September 2017, Beilage) dahingehend zu verstehen, dass B._______ Arbeitnehmer der Z._______ AG war. Damit ist festzuhalten, dass B._______ als Arbeitnehmer der Z._______ AG zu gelten hatte, im Schreiben der SVA [...] vom 25. Mai 2016 fälschlicherweise der Beschwerdeführer als Arbeitgeber bezeichnet wurde und die in dem mit vom 7. März 2017 datierenden Schreiben der SVA [...] an die Vorinstanz enthaltene Lohnbescheinigung der Z._______ AG für das Jahr 2013 nicht zutreffend ist.</w:t>
      </w:r>
    </w:p>
    <w:p>
      <w:r>
        <w:rPr>
          <w:b/>
        </w:rPr>
        <w:t>E. 3.2.3.3</w:t>
      </w:r>
    </w:p>
    <w:p>
      <w:r>
        <w:t>Zu beurteilen bleibt, ob B._______ dennoch ebenfalls Arbeitnehmer des Beschwerdeführers war. Entgegen allen Ausführungen ist nicht davon auszugehen, dass B._______ gleichzeitig Arbeitnehmer sowohl des Beschwerdeführers als auch der Z._______ AG war. Es ist ausgesprochen unwahrscheinlich, dass B._______ zwei Mal den exakt gleich hohen Lohn für denselben Zeitraum doppelt, einerseits bei der Z._______ AG und andererseits beim Beschwerdeführer erzielte. Bestätigt wird dies auch durch die Hinweise in den Versichertenverzeichnissen der Y._______ 2012 und 2013, dass B._______ bei der Z._______ AG zu 100 % angestellt war. Auch die Ausführung des Beschwerdeführers in seiner Stellungnahme vom 14. September 2017, das Arbeitgeberverhältnis sei per 1. Januar 2014 von ihm auf die Z._______ AG übertragen worden, vermag daran nichts zu ändern. Im vorliegenden Fall hat ein Übergang von Pflichten und Rechten nach Art. 645 Abs. 2 OR stattgefunden (E. 3.2.3.1). Dies bestätigt die Datierung des Druckes der Versichertenverzeichnisse der Y._______ aus den Jahren 2012 und 2013 jeweils per 1. Mai 2013 (Vernehmlassung, Beilage 7), weil dadurch aktenkundig ist, dass der Anschlussvertrag der Z._______ AG bereits vor ihrer Gründung am 29. August 2013 in deren Namen mit der Y._______ bestand. Dasselbe gilt sinngemäss für den Arbeitsvertrag mit B._______, weil der Übergang von Pflichten und Rechten nach Art. 645 Abs. 2 OR alle Verträge umfasst. Die Parteien dieses Übergangs waren einerseits die/der Handelnde(n) im Sinne von Art. 645 OR, welche aus den Akten nicht ersichtlich sind und sowohl vom Beschwerdeführer als auch von Dritten abgedeckt werden konnten, als übertragende sowie gleichzeitig austretende Partei, und andererseits die Z._______ AG als übernehmende Partei (vgl. Peter Böckli, Schweizer Aktienrecht, 4. Aufl. 2009, § 1 N. 432 Fn. 854 mit weiteren Hinweisen). Auch die hierfür notwendige Bestätigung durch die nachfolgend gegründete Z._______ AG konnte konkludent erfolgen (Adrian Plüss, in: Aktienrecht Kommentar, 2016, Art. 645 OR N. 7; Christoph Bauer, Parteiwechsel im Vertrag: Vertragsübertragung und Vertragsübergang, Diss. 2010, Rz. 256; Böckli, a.a.O., § 1 N. 432 f., jeweils mit weiteren Hinweisen). Dass eine solche Bestätigung zumindest konkludent erfolgte, ergibt sich aus der Austrittsabrechnung der Y._______ vom 5. Juni 2014 (Beschwerde, Beilage 3). Da der Beginn der Versicherungspflicht der Z._______ AG wie dargelegt auf den 1. Mai 2012 fällt (vgl. E. 3.1), erfolgte auch der Übergang von Pflichten und Rechten nach Art. 645 Abs. 2 OR rückwirkend (ex tunc) auf dieses Datum (vgl. Bauer, a.a.O., Rz. 202 mit weiteren Hinweisen). Im Übrigen ist darauf hinzuweisen, dass bei einer zeitlich unbeschränkten Vertragsübertragung, wovon im vorliegenden Fall mangels Hinweisen auf ein befristetes Arbeitsverhältnis von B._______ auszugehen ist, der Übernehmer die Parteistellung der übertragenden sowie gleichzeitig austretenden Partei selbst ohne Vereinbarung rückwirkend (ex tunc) übernehmen würde (s. hierzu eingehend Bauer, a.a.O., Rz. 202 und 334 f.). Den Akten kann nicht entnommen werden, ob der Arbeitsvertrag mit B._______, wie vom Beschwerdeführer dargelegt (Stellungnahme vom 14. September 2017, Beilage, S. 3 [recte: S. 2]), bereits am 25. März 2012 abgeschlossen wurde. Weiter ist unklar, ob der Abschluss des Anschlussvertrages mit der Y._______ auf das gleiche Datum fällt respektive ob zwischen dem 1. Mai 2012 und dem 1. Mai 2013 eine zusätzliche Vertragsübertragung vom Beschwerdeführer oder einem Dritten als allfällige frühere Arbeitgeber von B._______ sowie allfällige frühere Vertragspartner der Y._______ auf die Handelnden im Sinne von Art. 645 OR stattgefunden hat und allenfalls zu welchem genauen Zeitpunkt. All dies ist jedoch in keinem Fall entscheidwesentlich, weil aufgrund der dargelegten Rückwirkung per 1. Mai 2012 die Z._______ AG ihre Parteistellung so übernahm, wie sie beim Vertragsabschluss bestand, unabhängig davon, wer ursprünglich Gegenvertragspartei war. Nach einer solchen Übertragung bleiben keine Rechte, Pflichten oder bereits abgewickelte Leistungen bei der übertragenden sowie gleichzeitig austretenden Partei zurück und der Übernehmer wird auch für allfällige bereits abgewickelte Obligationen zuständig (Bauer, a.a.O., Rz. 335). Abschliessend ist zu erwähnen, dass in den Akten keine ausstehenden Forderungen gegen die Handelnden nach Art. 645 OR oder die Z._______ AG ersichtlich sind und auch nicht behauptet werden.</w:t>
      </w:r>
    </w:p>
    <w:p>
      <w:r>
        <w:rPr>
          <w:b/>
        </w:rPr>
        <w:t>E. 3.2.3.4</w:t>
      </w:r>
    </w:p>
    <w:p>
      <w:r>
        <w:t>Da aufgrund dieser Rückwirkung rechtsgenüglich festgestellt ist, dass B._______ nie als Arbeitnehmer des Beschwerdeführers gelten kann und die Vorinstanz keine weiteren obligatorisch zu versichernden Arbeitnehmer des Beschwerdeführers nennt respektive solche aus den Akten auch nicht ersichtlich sind, ist dessen Zwangsanschluss per 1. Januar 2012 zu Unrecht erfolgt.</w:t>
      </w:r>
    </w:p>
    <w:p>
      <w:r>
        <w:rPr>
          <w:b/>
        </w:rPr>
        <w:t>E. 3.3</w:t>
      </w:r>
    </w:p>
    <w:p>
      <w:r>
        <w:t>Schliesslich ist der Frage nachzugehen, ob die Kosten für den erfolgten Zwangsanschluss zu Recht dem Beschwerdeführer auferlegt worden sind beziehungsweise ob der Beschwerdeführer diese Kosten in rechtswesentlicher Weise verursacht hat (E. 2.2.3).</w:t>
      </w:r>
    </w:p>
    <w:p>
      <w:r>
        <w:rPr>
          <w:b/>
        </w:rPr>
        <w:t>E. 3.3.1</w:t>
      </w:r>
    </w:p>
    <w:p>
      <w:r>
        <w:t>Der Beschwerdeführer lehnt jede Kostenfolge zu seinen Lasten ab. Entgegen den Ausführungen der Vorinstanz begründet er dies sinngemäss damit, dass der Zwangsanschluss nicht hätte verfügt werden dürfen und ihm damit keine Kosten aufzuerlegen sind. Die Vorinstanz weist in ihrer Vernehmlassung demgegenüber darauf hin, dass das rechtliche Gehör gewährt worden sei und es der Beschwerdeführer unterlassen habe, sich während des Verwaltungsverfahrens bei der Vorinstanz zu irgendeinem Zeitpunkt zu äussern. Eventualiter führt sie aus, im Falle einer Bejahung der Verletzung des rechtlichen Gehörs sei dieses sowieso im Verfahren vor dem Bundesverwaltungsgericht geheilt worden. Im Übrigen stützte sie sich auf das integrierenden Bestandteil der Verfügung vom 19. Oktober 2016 bildende Kostenreglement.</w:t>
      </w:r>
    </w:p>
    <w:p>
      <w:r>
        <w:rPr>
          <w:b/>
        </w:rPr>
        <w:t>E. 3.3.2</w:t>
      </w:r>
    </w:p>
    <w:p>
      <w:r>
        <w:t>Aktenkundig ist, dass der Beschwerdeführer das mit vom 13. Juni 2016 datierende Einschreiben der Vorinstanz betreffend Androhung des Zwangsanschlusses nicht entgegengenommen hat (vgl. Sachverhalt Bst. A.b). Entgegen den Ausführungen der Vorinstanz ergibt sich aus den Akten allerdings nicht, dass der Beschwerdeführer mit der Zustellung eines Einschreibens der Vorinstanz mit einer gewissen Wahrscheinlichkeit rechnen musste. Dass der Beschwerdeführer «von der SVA [...] am 21. März 2016 (gemäss Angaben im Schreiben der SVA [...] vom 25. Mai 2016, Beilage 1) ersucht [wurde], ihr den Nachweis über den Anschluss an eine Vorsorgeeinrichtung zu erbringen [...]» (Vernehmlassung, S. 7), stellt eine Parteiauskunft (vgl. Art. 12 Bst. b. VwVG) dar, welche im Rahmen der freien Beweiswürdigung (vgl. E. 1.4.2) zu berücksichtigen ist.</w:t>
      </w:r>
    </w:p>
    <w:p>
      <w:r>
        <w:rPr>
          <w:b/>
        </w:rPr>
        <w:t>E. 3.3.3</w:t>
      </w:r>
    </w:p>
    <w:p>
      <w:r>
        <w:t>Da die Vorinstanz keinen Beweis für die Zustellung des Schreibens der SVA [...] am 21. März 2016 offeriert und der Beschwerdeführer eine solche im Rahmen seiner Rüge der Verletzung des rechtlichen Gehörs sinngemäss bestreitet, kann aufgrund der bei der Vorinstanz liegenden Beweislast - selbst im Licht der einschlägigen bundesverwaltungsgerichtlichen Rechtsprechung (E. 1.9.2) - nicht von einer Zustellung ausgegangen werden (vgl. Urteil des BVGer A-2373/2017 vom 30. August 2017 E. 1.3.3 und Egli, Praxiskommentar VwVG, a.a.O., Art. 20 N. 17, je mit weiteren Hinweisen). Dieser Schluss wird durch folgende Umstände bestätigt: Durch die bloss auszugsweise Berücksichtigung des Schreibens der SVA [...] vom 25. Mai 2016 und der damit begründeten Zwangsanschlussverfügung hat die Vorinstanz (wie dargelegt) entscheidwesentliche Auszüge in diesem Aktenstück übersehen (vgl. E. 3.1). In zeitlicher Hinsicht ist nicht plausibel, dass das Einschreiben an den Beschwerdeführer (Vernehmlassung, Beilage 4) vom 13. Juni 2016 datierte, obwohl in der Sendungsverfolgung der schweizerischen Post ("Track &amp; Trace") der Vermerk «Nicht abgeholt» vom 14. Juni 2016 stammt (Vernehmlassung, Beilage 5), beträgt doch die Abholfrist ab erfolgloser Zustellung sieben Tage (Art. 20 Abs. 2bis VwVG). Mit vom 13. Juni 2016 datierenden Einschreiben gewährte die Vorinstanz dem Beschwerdeführer eine Frist von zwei Monaten zum Anschluss an eine registrierte Vorsorgeeinrichtung und zum entsprechenden Nachweis (Sachverhalt Bst. A.b). Das Ende dieser Frist wurde im selben Schreiben auf den 12. August 2016 gesetzt. Um mithin dieses im obengenannten Einschreiben dargelegte Datum als Ende der zweimonatigen Frist zu wahren, hätte das Einschreiben dem Beschwerdeführer spätestens bis zum 11. Juni 2016 zugestellt werden müssen, weil der Fristenlauf einen Tag nach Zustellung beim Beschwerdeführer erfolgt und die "Monatsfristen" nach Art. 77 Abs. 1 Ziff. 3 OR zu berechnen sind (Urteil des BVGer A-4206/2017 vom 14. November 2017 E. 3.3.1; vgl. zur Berechnung von Monatsfristen in Verwaltungssachen Ueli Kieser, ATSG-Kommentar, 3. Aufl. 2015, Art. 38 N. 23 ATSG).</w:t>
      </w:r>
    </w:p>
    <w:p>
      <w:r>
        <w:rPr>
          <w:b/>
        </w:rPr>
        <w:t>E. 3.3.4</w:t>
      </w:r>
    </w:p>
    <w:p>
      <w:r>
        <w:t>Damit ist festzuhalten, dass die Vorinstanz dem Beschwerdeführer das rechtliche Gehör nicht gewährt hat. Der Beschwerdeführer konnte somit erst im Beschwerdeverfahren Unterlagen einreichen, welche den Zwangsanschluss als zu Unrecht verfügt erscheinen lassen. Somit hat er das vorliegende Verfahren nicht in rechtswesentlicher Weise verursacht. Die Heilung des rechtlichen Gehörs im Verfahren vor dem Bundesverwaltungsgericht vermag daran im Rahmen der funktionellen Zuständigkeit nichts zu ändern (vgl. Moor/Poltier, a.a.O., S. 670). Die Kosten der Zwangsanschlussverfügung sind daher von der Vorinstanz zu tragen.</w:t>
      </w:r>
    </w:p>
    <w:p>
      <w:r>
        <w:rPr>
          <w:b/>
        </w:rPr>
        <w:t>E. 4</w:t>
      </w:r>
    </w:p>
    <w:p>
      <w:r>
        <w:t>Somit ist noch über die Kosten- und Entschädigungsfolgen des vorliegenden Verfahrens zu befinden.</w:t>
      </w:r>
    </w:p>
    <w:p>
      <w:r>
        <w:rPr>
          <w:b/>
        </w:rPr>
        <w:t>E. 4.1</w:t>
      </w:r>
    </w:p>
    <w:p>
      <w:r>
        <w:t>Gemäss Art. 63 Abs. 1 VwVG werden die Verfahrenskosten in der Regel der unterliegenden Partei im Umfang ihres Unterliegens auferlegt. Der Vorinstanz sind keine Verfahrenskosten aufzuerlegen (Art. 63 Abs. 2 VwVG). Ausnahmsweise können auch einer obsiegenden Partei die Verfahrenskosten vollumfänglich oder teilweise auferlegt werden, nämlich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hat, etwa durch verspätetes Vorbringen relevanter Beweismittel, die zu einer Gutheissung der Beschwerde führen (Moser et al., a.a.O., Rz. 4.52 mit Hinweisen).</w:t>
      </w:r>
    </w:p>
    <w:p>
      <w:r>
        <w:rPr>
          <w:b/>
        </w:rPr>
        <w:t>E. 4.2</w:t>
      </w:r>
    </w:p>
    <w:p>
      <w:r>
        <w:t>Wie in E. 3.3 dargelegt, hatte der Beschwerdeführer vor Erlass der angefochtenen Verfügung vom 19. Oktober 2016 vom BVG-Zwangsanschlussverfahren keine Kenntnis. Eine Verletzung von Mitwirkungspflichten in diesem ist damit nicht erstellt, weshalb dem Beschwerdeführer keine Kosten aufzuerlegen sind.</w:t>
      </w:r>
    </w:p>
    <w:p>
      <w:r>
        <w:rPr>
          <w:b/>
        </w:rPr>
        <w:t>E. 4.3</w:t>
      </w:r>
    </w:p>
    <w:p>
      <w:r>
        <w:t>Die Vorinstanz hat dem obsiegenden Beschwerdeführer die ihm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der Akten und in der Regel ohne eingehende Begründung. Die vom Beschwerdeführer beantragte Parteientschädigung von Fr. 2'445.50 (inkl. Mehrwertsteuerzuschlag im Sinne von Art. 9 Abs. 1 Bst. c VGKE) ist ausgewiesen und erscheint angemessen. Infolgedessen ist die Vorinstanz zu verpflichten, dem Beschwerdeführer eine Parteientschädigung in entsprechender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